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35990" cy="548194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368570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5835989" cy="54819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9.5pt;height:431.6pt;mso-wrap-distance-left:0.0pt;mso-wrap-distance-top:0.0pt;mso-wrap-distance-right:0.0pt;mso-wrap-distance-bottom:0.0pt;rotation:0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/>
    </w:p>
    <w:p>
      <w:pPr>
        <w:ind w:firstLine="708"/>
        <w:jc w:val="both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8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январе </w:t>
      </w: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3 года комитет </w:t>
      </w:r>
      <w:r>
        <w:rPr>
          <w:rFonts w:ascii="Times New Roman" w:hAnsi="Times New Roman" w:cs="Times New Roman"/>
          <w:sz w:val="28"/>
          <w:szCs w:val="28"/>
        </w:rPr>
        <w:t xml:space="preserve">Верхо</w:t>
      </w:r>
      <w:r>
        <w:rPr>
          <w:rFonts w:ascii="Times New Roman" w:hAnsi="Times New Roman" w:cs="Times New Roman"/>
          <w:sz w:val="28"/>
          <w:szCs w:val="28"/>
        </w:rPr>
        <w:t xml:space="preserve">вного Сов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та Республики Хакасия по бюджету и налоговой п</w:t>
      </w:r>
      <w:bookmarkStart w:id="0" w:name="_GoBack"/>
      <w:r/>
      <w:bookmarkEnd w:id="0"/>
      <w:r>
        <w:rPr>
          <w:rFonts w:ascii="Times New Roman" w:hAnsi="Times New Roman" w:cs="Times New Roman"/>
          <w:sz w:val="28"/>
          <w:szCs w:val="28"/>
        </w:rPr>
        <w:t xml:space="preserve">олитике </w:t>
      </w:r>
      <w:r>
        <w:rPr>
          <w:rFonts w:ascii="Times New Roman" w:hAnsi="Times New Roman" w:cs="Times New Roman"/>
          <w:sz w:val="28"/>
          <w:szCs w:val="28"/>
        </w:rPr>
        <w:t xml:space="preserve">заслушал и обсудил информацию </w:t>
      </w:r>
      <w:r>
        <w:rPr>
          <w:rFonts w:ascii="Times New Roman" w:hAnsi="Times New Roman"/>
          <w:sz w:val="28"/>
          <w:szCs w:val="28"/>
        </w:rPr>
        <w:t xml:space="preserve">заместителя министра имущественных и земельных отношений Республики Хакасия </w:t>
      </w:r>
      <w:r>
        <w:rPr>
          <w:rFonts w:ascii="Times New Roman" w:hAnsi="Times New Roman"/>
          <w:bCs/>
          <w:sz w:val="28"/>
          <w:szCs w:val="28"/>
        </w:rPr>
        <w:t xml:space="preserve">Е</w:t>
      </w:r>
      <w:r>
        <w:rPr>
          <w:rFonts w:ascii="Times New Roman" w:hAnsi="Times New Roman"/>
          <w:bCs/>
          <w:sz w:val="28"/>
          <w:szCs w:val="28"/>
        </w:rPr>
        <w:t xml:space="preserve">в</w:t>
      </w:r>
      <w:r>
        <w:rPr>
          <w:rFonts w:ascii="Times New Roman" w:hAnsi="Times New Roman"/>
          <w:bCs/>
          <w:sz w:val="28"/>
          <w:szCs w:val="28"/>
        </w:rPr>
        <w:t xml:space="preserve">гении Александровны </w:t>
      </w:r>
      <w:r>
        <w:rPr>
          <w:rFonts w:ascii="Times New Roman" w:hAnsi="Times New Roman"/>
          <w:bCs/>
          <w:sz w:val="28"/>
          <w:szCs w:val="28"/>
        </w:rPr>
        <w:t xml:space="preserve">Темеровой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мероприятиях по увеличению объема поступлен</w:t>
      </w:r>
      <w:r>
        <w:rPr>
          <w:rFonts w:ascii="Times New Roman" w:hAnsi="Times New Roman"/>
          <w:sz w:val="28"/>
          <w:szCs w:val="28"/>
        </w:rPr>
        <w:t xml:space="preserve">ий налоговых и неналоговых доходов в консолидированный бюджет Республики Хакасия в 2022 году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  <w:t xml:space="preserve">Неналоговые доходы от использования и реализации государственного и муниципального имущества в консолидированный бюджет республики по состоянию на 31 декабря 202</w:t>
      </w:r>
      <w:r>
        <w:rPr>
          <w:rFonts w:ascii="Times New Roman" w:hAnsi="Times New Roman" w:cs="Times New Roman"/>
          <w:bCs/>
          <w:sz w:val="28"/>
          <w:szCs w:val="28"/>
        </w:rPr>
        <w:t xml:space="preserve">2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года составили </w:t>
      </w: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 млрд. </w:t>
      </w:r>
      <w:r>
        <w:rPr>
          <w:rFonts w:ascii="Times New Roman" w:hAnsi="Times New Roman" w:cs="Times New Roman"/>
          <w:b/>
          <w:sz w:val="28"/>
          <w:szCs w:val="28"/>
        </w:rPr>
        <w:t xml:space="preserve"> 817 млн.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рублей.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Доходы от использования государственного и муниципального имущества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растут с каждым годом и увеличились с </w:t>
      </w:r>
      <w:r>
        <w:rPr>
          <w:rFonts w:ascii="Times New Roman" w:hAnsi="Times New Roman" w:cs="Times New Roman"/>
          <w:b/>
          <w:sz w:val="28"/>
          <w:szCs w:val="28"/>
        </w:rPr>
        <w:t xml:space="preserve">201</w:t>
      </w:r>
      <w:r>
        <w:rPr>
          <w:rFonts w:ascii="Times New Roman" w:hAnsi="Times New Roman" w:cs="Times New Roman"/>
          <w:b/>
          <w:sz w:val="28"/>
          <w:szCs w:val="28"/>
        </w:rPr>
        <w:t xml:space="preserve">8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года на </w:t>
      </w:r>
      <w:r>
        <w:rPr>
          <w:rFonts w:ascii="Times New Roman" w:hAnsi="Times New Roman" w:cs="Times New Roman"/>
          <w:b/>
          <w:sz w:val="28"/>
          <w:szCs w:val="28"/>
        </w:rPr>
        <w:t xml:space="preserve">72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%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это связанно в первую очередь с эффективным вовлечением имущества в оборот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за</w:t>
      </w:r>
      <w:r>
        <w:rPr>
          <w:rFonts w:ascii="Times New Roman" w:hAnsi="Times New Roman" w:cs="Times New Roman"/>
          <w:bCs/>
          <w:sz w:val="28"/>
          <w:szCs w:val="28"/>
        </w:rPr>
        <w:t xml:space="preserve">ключ</w:t>
      </w:r>
      <w:r>
        <w:rPr>
          <w:rFonts w:ascii="Times New Roman" w:hAnsi="Times New Roman" w:cs="Times New Roman"/>
          <w:bCs/>
          <w:sz w:val="28"/>
          <w:szCs w:val="28"/>
        </w:rPr>
        <w:t xml:space="preserve">ением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новых договоров аренды.</w:t>
      </w:r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едется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работа по снижению задолженности по арендным платежам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(претензионная работа, взыскание в судебном порядке,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работа с судебными приставами).</w:t>
      </w:r>
      <w:r>
        <w:rPr>
          <w:sz w:val="28"/>
          <w:szCs w:val="28"/>
        </w:rPr>
      </w:r>
      <w:r/>
    </w:p>
    <w:p>
      <w:pPr>
        <w:pStyle w:val="656"/>
        <w:ind w:firstLine="567"/>
        <w:jc w:val="both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bCs/>
          <w:sz w:val="28"/>
          <w:szCs w:val="28"/>
        </w:rPr>
        <w:t xml:space="preserve">С целью обеспечения роста поступлений доходов по налоговым платежам, Министерством имущественных и земельных отношений Республики Хакасия совместно с органами местного самоуправления</w:t>
      </w:r>
      <w:r>
        <w:rPr>
          <w:rFonts w:ascii="Times New Roman" w:hAnsi="Times New Roman"/>
          <w:bCs/>
          <w:sz w:val="28"/>
          <w:szCs w:val="28"/>
        </w:rPr>
        <w:t xml:space="preserve">, подведомственными организациями</w:t>
      </w:r>
      <w:r>
        <w:rPr>
          <w:rFonts w:ascii="Times New Roman" w:hAnsi="Times New Roman"/>
          <w:bCs/>
          <w:sz w:val="28"/>
          <w:szCs w:val="28"/>
        </w:rPr>
        <w:t xml:space="preserve"> в течение </w:t>
      </w:r>
      <w:r>
        <w:rPr>
          <w:rFonts w:ascii="Times New Roman" w:hAnsi="Times New Roman"/>
          <w:bCs/>
          <w:sz w:val="28"/>
          <w:szCs w:val="28"/>
        </w:rPr>
        <w:t xml:space="preserve">прошлого</w:t>
      </w:r>
      <w:r>
        <w:rPr>
          <w:rFonts w:ascii="Times New Roman" w:hAnsi="Times New Roman"/>
          <w:bCs/>
          <w:sz w:val="28"/>
          <w:szCs w:val="28"/>
        </w:rPr>
        <w:t xml:space="preserve"> года проводилась активная работа</w:t>
      </w:r>
      <w:r>
        <w:rPr>
          <w:rFonts w:ascii="Times New Roman" w:hAnsi="Times New Roman"/>
          <w:bCs/>
          <w:sz w:val="28"/>
          <w:szCs w:val="28"/>
        </w:rPr>
        <w:t xml:space="preserve"> по наполнению ЕГРН недостающими сведениями, кадастровая оценка земельных участков всех категорий</w:t>
      </w:r>
      <w:r>
        <w:rPr>
          <w:rFonts w:ascii="Times New Roman" w:hAnsi="Times New Roman"/>
          <w:bCs/>
          <w:sz w:val="28"/>
          <w:szCs w:val="28"/>
        </w:rPr>
        <w:t xml:space="preserve">, формирование перечня объектов недвижимости, налогообложение по которым осуществляется исходя из кадастровой стоимости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Осуществлялись выездные мероприятия на территории муниципальных образований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(подворовой обход, разъяснительные беседы с гражданами, консультационная помощь МО)</w:t>
      </w:r>
      <w:r>
        <w:rPr>
          <w:rFonts w:ascii="Times New Roman" w:hAnsi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Р</w:t>
      </w:r>
      <w:r>
        <w:rPr>
          <w:rFonts w:ascii="Times New Roman" w:hAnsi="Times New Roman"/>
          <w:sz w:val="28"/>
          <w:szCs w:val="28"/>
        </w:rPr>
        <w:t xml:space="preserve">езультат проведенной работы положительно сказывается на поступлении местных налогов в бюджеты муниципальн</w:t>
      </w:r>
      <w:r>
        <w:rPr>
          <w:rFonts w:ascii="Times New Roman" w:hAnsi="Times New Roman"/>
          <w:sz w:val="28"/>
          <w:szCs w:val="28"/>
        </w:rPr>
        <w:t xml:space="preserve">ых образований Республики Хакасия</w:t>
      </w:r>
      <w:r>
        <w:rPr>
          <w:rFonts w:ascii="Times New Roman" w:hAnsi="Times New Roman"/>
          <w:sz w:val="28"/>
          <w:szCs w:val="28"/>
        </w:rPr>
        <w:t xml:space="preserve"> и в ре</w:t>
      </w:r>
      <w:r>
        <w:rPr>
          <w:rFonts w:ascii="Times New Roman" w:hAnsi="Times New Roman"/>
          <w:sz w:val="28"/>
          <w:szCs w:val="28"/>
        </w:rPr>
        <w:t xml:space="preserve">спубликанский бюджет Республики Хакасия.</w:t>
      </w:r>
      <w:r>
        <w:rPr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highlight w:val="none"/>
        </w:rPr>
      </w:r>
      <w:r>
        <w:rPr>
          <w:rFonts w:ascii="Times New Roman" w:hAnsi="Times New Roman"/>
          <w:b/>
          <w:bCs/>
          <w:sz w:val="28"/>
          <w:szCs w:val="28"/>
        </w:rPr>
        <w:t xml:space="preserve">Рост налога на и</w:t>
      </w:r>
      <w:r>
        <w:rPr>
          <w:rFonts w:ascii="Times New Roman" w:hAnsi="Times New Roman"/>
          <w:b/>
          <w:bCs/>
          <w:sz w:val="28"/>
          <w:szCs w:val="28"/>
        </w:rPr>
        <w:t xml:space="preserve">мущество физических лиц 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313,432</w:t>
      </w:r>
      <w:r>
        <w:rPr>
          <w:rFonts w:ascii="Times New Roman" w:hAnsi="Times New Roman"/>
          <w:b/>
          <w:bCs/>
          <w:sz w:val="28"/>
          <w:szCs w:val="28"/>
        </w:rPr>
        <w:t xml:space="preserve"> млн. рублей в 2021 году до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348,289</w:t>
      </w:r>
      <w:r>
        <w:rPr>
          <w:rFonts w:ascii="Times New Roman" w:hAnsi="Times New Roman"/>
          <w:b/>
          <w:bCs/>
          <w:sz w:val="28"/>
          <w:szCs w:val="28"/>
        </w:rPr>
        <w:t xml:space="preserve"> млн. рублей за 2022 год</w:t>
      </w:r>
      <w:r>
        <w:rPr>
          <w:rFonts w:ascii="Times New Roman" w:hAnsi="Times New Roman"/>
          <w:sz w:val="28"/>
          <w:szCs w:val="28"/>
        </w:rPr>
        <w:t xml:space="preserve"> произошел за счет работы по инвентаризации</w:t>
      </w:r>
      <w:r>
        <w:rPr>
          <w:rFonts w:ascii="Times New Roman" w:hAnsi="Times New Roman"/>
          <w:sz w:val="28"/>
          <w:szCs w:val="28"/>
        </w:rPr>
        <w:t xml:space="preserve">, регистрации ранее учтённых объектов недвижимости</w:t>
      </w:r>
      <w:r>
        <w:rPr>
          <w:rFonts w:ascii="Times New Roman" w:hAnsi="Times New Roman"/>
          <w:sz w:val="28"/>
          <w:szCs w:val="28"/>
        </w:rPr>
        <w:t xml:space="preserve"> и ввода нового жилья в экс</w:t>
      </w:r>
      <w:r>
        <w:rPr>
          <w:rFonts w:ascii="Times New Roman" w:hAnsi="Times New Roman"/>
          <w:sz w:val="28"/>
          <w:szCs w:val="28"/>
        </w:rPr>
        <w:t xml:space="preserve">плуатацию (регистрация прав собственниками)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bCs/>
          <w:i/>
          <w:iCs/>
          <w:sz w:val="28"/>
          <w:szCs w:val="28"/>
          <w:highlight w:val="none"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Рост поступлений в бюджет налога на имущество организаций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сравнении с 2021 годом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составил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%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2 480,585 млн. рублей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2021 году и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2 611,594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млн. рублей за 2022 год)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рост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незначительный, в связи со снижением налоговой нагрузки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орган</w:t>
      </w:r>
      <w:r>
        <w:rPr>
          <w:rFonts w:ascii="Times New Roman" w:hAnsi="Times New Roman" w:cs="Times New Roman"/>
          <w:bCs/>
          <w:sz w:val="28"/>
          <w:szCs w:val="28"/>
        </w:rPr>
        <w:t xml:space="preserve">изаци</w:t>
      </w:r>
      <w:r>
        <w:rPr>
          <w:rFonts w:ascii="Times New Roman" w:hAnsi="Times New Roman" w:cs="Times New Roman"/>
          <w:bCs/>
          <w:sz w:val="28"/>
          <w:szCs w:val="28"/>
        </w:rPr>
        <w:t xml:space="preserve">и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виде освобождения с 2019 года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налога с </w:t>
      </w:r>
      <w:r>
        <w:rPr>
          <w:rFonts w:ascii="Times New Roman" w:hAnsi="Times New Roman" w:cs="Times New Roman"/>
          <w:bCs/>
          <w:sz w:val="28"/>
          <w:szCs w:val="28"/>
        </w:rPr>
        <w:t xml:space="preserve">движимого имущества.</w:t>
      </w:r>
      <w:r>
        <w:rPr>
          <w:sz w:val="28"/>
          <w:szCs w:val="28"/>
        </w:rPr>
      </w:r>
      <w:r/>
    </w:p>
    <w:p>
      <w:pPr>
        <w:contextualSpacing/>
        <w:ind w:left="142" w:firstLine="425"/>
        <w:jc w:val="both"/>
        <w:spacing w:after="0" w:line="240" w:lineRule="auto"/>
        <w:tabs>
          <w:tab w:val="left" w:pos="1134" w:leader="none"/>
        </w:tabs>
        <w:rPr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Поступления земельного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налога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консолидированный бюджет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 сравнении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2021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год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ом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увеличились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на 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%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(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570,927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млн. рублей в 2021 году 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636,394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млн. рублей за 2022 год).</w:t>
      </w:r>
      <w:r>
        <w:rPr>
          <w:b/>
          <w:bCs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i/>
          <w:iCs/>
          <w:sz w:val="26"/>
          <w:szCs w:val="26"/>
          <w:highlight w:val="none"/>
        </w:rPr>
      </w:r>
      <w:r>
        <w:rPr>
          <w:rFonts w:ascii="Times New Roman" w:hAnsi="Times New Roman" w:cs="Times New Roman"/>
          <w:bCs/>
          <w:i/>
          <w:iCs/>
          <w:sz w:val="26"/>
          <w:szCs w:val="26"/>
          <w:highlight w:val="none"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 31 декабря 2022 года, в рамках проведения работ по выявлению правообладателей, гражданами зарегистрировано </w:t>
      </w:r>
      <w:r>
        <w:rPr>
          <w:rFonts w:ascii="Times New Roman" w:hAnsi="Times New Roman" w:cs="Times New Roman"/>
          <w:b/>
          <w:sz w:val="28"/>
          <w:szCs w:val="28"/>
        </w:rPr>
        <w:t xml:space="preserve">3084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ранее учтенных объектов недвижимости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(на 2021 год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–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1021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).</w:t>
      </w:r>
      <w:r>
        <w:rPr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Во исполнение перечня поручений Президента Российской Федерации от 11.08.2022 № пр-1424 по вопросу реализации государственной программы Российской Федерации «Национальная система пространственных данных»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согласован  план-график проведения работ по выявлению правообладателей ранее учтенных объектов недвижимости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соответствии с Федеральным законом от 30.12.2020 № 518-ФЗ «О внесении изменений в отдельные законодательные акты Российской Федерации» 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в разрезе каждого муниципального образования до 2027 года с Росреестром.</w:t>
      </w:r>
      <w:r>
        <w:rPr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tabs>
          <w:tab w:val="left" w:pos="4678" w:leader="none"/>
        </w:tabs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Хотелось бы отметить муниципальные образования, на территории которых ведется активная работа по реализации Федерального закона № 518–ФЗ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</w:t>
      </w: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г. Абакан, Аскизский район, г. Абаза.</w:t>
      </w:r>
      <w:r>
        <w:rPr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tabs>
          <w:tab w:val="left" w:pos="4678" w:leader="none"/>
        </w:tabs>
        <w:rPr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Минимальные показатели в Боградском, Ширинском, Таштып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ском, Орджоникидзевском районах,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г. Черногорск, Усть-Абаканский район.</w:t>
      </w:r>
      <w:r>
        <w:rPr>
          <w:sz w:val="28"/>
          <w:szCs w:val="28"/>
        </w:rPr>
      </w:r>
      <w:r/>
    </w:p>
    <w:p>
      <w:pPr>
        <w:pStyle w:val="656"/>
        <w:ind w:firstLine="567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Также активно реализуется Федеральный закон № 79-ФЗ «О гаражной амнистии» вступивший в законную силу с 01.09.2021 года</w:t>
      </w:r>
      <w:r>
        <w:rPr>
          <w:rFonts w:ascii="Times New Roman" w:hAnsi="Times New Roman"/>
          <w:bCs/>
          <w:sz w:val="28"/>
          <w:szCs w:val="28"/>
        </w:rPr>
        <w:t xml:space="preserve">. П</w:t>
      </w:r>
      <w:r>
        <w:rPr>
          <w:rFonts w:ascii="Times New Roman" w:hAnsi="Times New Roman"/>
          <w:bCs/>
          <w:sz w:val="28"/>
          <w:szCs w:val="28"/>
        </w:rPr>
        <w:t xml:space="preserve">о результатам проведенной работы с населением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(посредством информирования в средствах массовой информации, в информационно-телекоммуникационной сети «Интернет» и на официальных сайтах муниципальных образований)</w:t>
      </w:r>
      <w:r>
        <w:rPr>
          <w:rFonts w:ascii="Times New Roman" w:hAnsi="Times New Roman"/>
          <w:bCs/>
          <w:sz w:val="28"/>
          <w:szCs w:val="28"/>
        </w:rPr>
        <w:t xml:space="preserve"> на территории Республики Хакасия гражданами на 31 декабря 2022 года поставлено на государственный кадастровый учет </w:t>
      </w:r>
      <w:r>
        <w:rPr>
          <w:rFonts w:ascii="Times New Roman" w:hAnsi="Times New Roman"/>
          <w:b/>
          <w:sz w:val="28"/>
          <w:szCs w:val="28"/>
        </w:rPr>
        <w:t xml:space="preserve">1271 </w:t>
      </w:r>
      <w:r>
        <w:rPr>
          <w:rFonts w:ascii="Times New Roman" w:hAnsi="Times New Roman"/>
          <w:bCs/>
          <w:sz w:val="28"/>
          <w:szCs w:val="28"/>
        </w:rPr>
        <w:t xml:space="preserve">гараж 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(на 2021 год в 3 раза меньше - 369).</w:t>
      </w:r>
      <w:r>
        <w:rPr>
          <w:sz w:val="28"/>
          <w:szCs w:val="28"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highlight w:val="none"/>
        </w:rPr>
        <w:t xml:space="preserve">По результатам рассмотрения информации, депутатами сформированы рекомендации, которые будут направлены Правительству Республики Хакасия.</w:t>
      </w:r>
      <w:r>
        <w:rPr>
          <w:rFonts w:ascii="Times New Roman" w:hAnsi="Times New Roman" w:cs="Times New Roman"/>
          <w:bCs/>
          <w:sz w:val="28"/>
          <w:szCs w:val="28"/>
          <w:highlight w:val="none"/>
        </w:rPr>
      </w:r>
      <w:r/>
    </w:p>
    <w:p>
      <w:pPr>
        <w:contextualSpacing/>
        <w:ind w:firstLine="567"/>
        <w:jc w:val="both"/>
        <w:spacing w:after="0" w:line="240" w:lineRule="auto"/>
        <w:tabs>
          <w:tab w:val="left" w:pos="1134" w:leader="none"/>
        </w:tabs>
        <w:rPr>
          <w:rFonts w:ascii="Times New Roman" w:hAnsi="Times New Roman" w:cs="Times New Roman"/>
          <w:bCs w:val="0"/>
          <w:i w:val="0"/>
          <w:sz w:val="28"/>
          <w:szCs w:val="28"/>
        </w:rPr>
      </w:pPr>
      <w:r>
        <w:rPr>
          <w:rFonts w:ascii="Times New Roman" w:hAnsi="Times New Roman" w:cs="Times New Roman"/>
          <w:bCs/>
          <w:i w:val="0"/>
          <w:iCs w:val="0"/>
          <w:sz w:val="28"/>
          <w:szCs w:val="28"/>
          <w:highlight w:val="none"/>
        </w:rPr>
      </w:r>
      <w:r>
        <w:rPr>
          <w:rFonts w:ascii="Times New Roman" w:hAnsi="Times New Roman" w:cs="Times New Roman"/>
          <w:bCs/>
          <w:i w:val="0"/>
          <w:iCs w:val="0"/>
          <w:sz w:val="28"/>
          <w:szCs w:val="28"/>
          <w:highlight w:val="none"/>
        </w:rPr>
        <w:t xml:space="preserve">Также, депутаты обсудили вопросы в связи с предстоящей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повесткой сорок пятой сессии</w:t>
      </w:r>
      <w:r>
        <w:rPr>
          <w:rFonts w:ascii="Times New Roman" w:hAnsi="Times New Roman"/>
          <w:sz w:val="28"/>
          <w:szCs w:val="28"/>
        </w:rPr>
        <w:t xml:space="preserve"> Ве</w:t>
      </w:r>
      <w:r>
        <w:rPr>
          <w:rFonts w:ascii="Times New Roman" w:hAnsi="Times New Roman"/>
          <w:sz w:val="28"/>
          <w:szCs w:val="28"/>
        </w:rPr>
        <w:t xml:space="preserve">р</w:t>
      </w:r>
      <w:r>
        <w:rPr>
          <w:rFonts w:ascii="Times New Roman" w:hAnsi="Times New Roman"/>
          <w:sz w:val="28"/>
          <w:szCs w:val="28"/>
        </w:rPr>
        <w:t xml:space="preserve">ховного Совета Республики Хакасии седьмого созыва</w:t>
      </w:r>
      <w:r>
        <w:rPr>
          <w:rFonts w:ascii="Times New Roman" w:hAnsi="Times New Roman" w:cs="Times New Roman"/>
          <w:bCs w:val="0"/>
          <w:i w:val="0"/>
          <w:sz w:val="28"/>
          <w:szCs w:val="28"/>
        </w:rPr>
        <w:t xml:space="preserve">.</w:t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Tahoma">
    <w:panose1 w:val="020B060403050404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4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06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8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0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2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94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6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8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07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4" w:hanging="42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8">
    <w:name w:val="Heading 1"/>
    <w:basedOn w:val="815"/>
    <w:next w:val="815"/>
    <w:link w:val="63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9">
    <w:name w:val="Heading 1 Char"/>
    <w:basedOn w:val="816"/>
    <w:link w:val="638"/>
    <w:uiPriority w:val="9"/>
    <w:rPr>
      <w:rFonts w:ascii="Arial" w:hAnsi="Arial" w:eastAsia="Arial" w:cs="Arial"/>
      <w:sz w:val="40"/>
      <w:szCs w:val="40"/>
    </w:rPr>
  </w:style>
  <w:style w:type="paragraph" w:styleId="640">
    <w:name w:val="Heading 2"/>
    <w:basedOn w:val="815"/>
    <w:next w:val="815"/>
    <w:link w:val="64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41">
    <w:name w:val="Heading 2 Char"/>
    <w:basedOn w:val="816"/>
    <w:link w:val="640"/>
    <w:uiPriority w:val="9"/>
    <w:rPr>
      <w:rFonts w:ascii="Arial" w:hAnsi="Arial" w:eastAsia="Arial" w:cs="Arial"/>
      <w:sz w:val="34"/>
    </w:rPr>
  </w:style>
  <w:style w:type="paragraph" w:styleId="642">
    <w:name w:val="Heading 3"/>
    <w:basedOn w:val="815"/>
    <w:next w:val="815"/>
    <w:link w:val="64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43">
    <w:name w:val="Heading 3 Char"/>
    <w:basedOn w:val="816"/>
    <w:link w:val="642"/>
    <w:uiPriority w:val="9"/>
    <w:rPr>
      <w:rFonts w:ascii="Arial" w:hAnsi="Arial" w:eastAsia="Arial" w:cs="Arial"/>
      <w:sz w:val="30"/>
      <w:szCs w:val="30"/>
    </w:rPr>
  </w:style>
  <w:style w:type="paragraph" w:styleId="644">
    <w:name w:val="Heading 4"/>
    <w:basedOn w:val="815"/>
    <w:next w:val="815"/>
    <w:link w:val="64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5">
    <w:name w:val="Heading 4 Char"/>
    <w:basedOn w:val="816"/>
    <w:link w:val="644"/>
    <w:uiPriority w:val="9"/>
    <w:rPr>
      <w:rFonts w:ascii="Arial" w:hAnsi="Arial" w:eastAsia="Arial" w:cs="Arial"/>
      <w:b/>
      <w:bCs/>
      <w:sz w:val="26"/>
      <w:szCs w:val="26"/>
    </w:rPr>
  </w:style>
  <w:style w:type="paragraph" w:styleId="646">
    <w:name w:val="Heading 5"/>
    <w:basedOn w:val="815"/>
    <w:next w:val="815"/>
    <w:link w:val="64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7">
    <w:name w:val="Heading 5 Char"/>
    <w:basedOn w:val="816"/>
    <w:link w:val="646"/>
    <w:uiPriority w:val="9"/>
    <w:rPr>
      <w:rFonts w:ascii="Arial" w:hAnsi="Arial" w:eastAsia="Arial" w:cs="Arial"/>
      <w:b/>
      <w:bCs/>
      <w:sz w:val="24"/>
      <w:szCs w:val="24"/>
    </w:rPr>
  </w:style>
  <w:style w:type="paragraph" w:styleId="648">
    <w:name w:val="Heading 6"/>
    <w:basedOn w:val="815"/>
    <w:next w:val="815"/>
    <w:link w:val="64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9">
    <w:name w:val="Heading 6 Char"/>
    <w:basedOn w:val="816"/>
    <w:link w:val="648"/>
    <w:uiPriority w:val="9"/>
    <w:rPr>
      <w:rFonts w:ascii="Arial" w:hAnsi="Arial" w:eastAsia="Arial" w:cs="Arial"/>
      <w:b/>
      <w:bCs/>
      <w:sz w:val="22"/>
      <w:szCs w:val="22"/>
    </w:rPr>
  </w:style>
  <w:style w:type="paragraph" w:styleId="650">
    <w:name w:val="Heading 7"/>
    <w:basedOn w:val="815"/>
    <w:next w:val="815"/>
    <w:link w:val="65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51">
    <w:name w:val="Heading 7 Char"/>
    <w:basedOn w:val="816"/>
    <w:link w:val="65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52">
    <w:name w:val="Heading 8"/>
    <w:basedOn w:val="815"/>
    <w:next w:val="815"/>
    <w:link w:val="65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53">
    <w:name w:val="Heading 8 Char"/>
    <w:basedOn w:val="816"/>
    <w:link w:val="652"/>
    <w:uiPriority w:val="9"/>
    <w:rPr>
      <w:rFonts w:ascii="Arial" w:hAnsi="Arial" w:eastAsia="Arial" w:cs="Arial"/>
      <w:i/>
      <w:iCs/>
      <w:sz w:val="22"/>
      <w:szCs w:val="22"/>
    </w:rPr>
  </w:style>
  <w:style w:type="paragraph" w:styleId="654">
    <w:name w:val="Heading 9"/>
    <w:basedOn w:val="815"/>
    <w:next w:val="815"/>
    <w:link w:val="65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5">
    <w:name w:val="Heading 9 Char"/>
    <w:basedOn w:val="816"/>
    <w:link w:val="654"/>
    <w:uiPriority w:val="9"/>
    <w:rPr>
      <w:rFonts w:ascii="Arial" w:hAnsi="Arial" w:eastAsia="Arial" w:cs="Arial"/>
      <w:i/>
      <w:iCs/>
      <w:sz w:val="21"/>
      <w:szCs w:val="21"/>
    </w:rPr>
  </w:style>
  <w:style w:type="paragraph" w:styleId="656">
    <w:name w:val="No Spacing"/>
    <w:uiPriority w:val="1"/>
    <w:qFormat/>
    <w:pPr>
      <w:spacing w:before="0" w:after="0" w:line="240" w:lineRule="auto"/>
    </w:pPr>
  </w:style>
  <w:style w:type="paragraph" w:styleId="657">
    <w:name w:val="Title"/>
    <w:basedOn w:val="815"/>
    <w:next w:val="815"/>
    <w:link w:val="65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8">
    <w:name w:val="Title Char"/>
    <w:basedOn w:val="816"/>
    <w:link w:val="657"/>
    <w:uiPriority w:val="10"/>
    <w:rPr>
      <w:sz w:val="48"/>
      <w:szCs w:val="48"/>
    </w:rPr>
  </w:style>
  <w:style w:type="paragraph" w:styleId="659">
    <w:name w:val="Subtitle"/>
    <w:basedOn w:val="815"/>
    <w:next w:val="815"/>
    <w:link w:val="660"/>
    <w:uiPriority w:val="11"/>
    <w:qFormat/>
    <w:pPr>
      <w:spacing w:before="200" w:after="200"/>
    </w:pPr>
    <w:rPr>
      <w:sz w:val="24"/>
      <w:szCs w:val="24"/>
    </w:rPr>
  </w:style>
  <w:style w:type="character" w:styleId="660">
    <w:name w:val="Subtitle Char"/>
    <w:basedOn w:val="816"/>
    <w:link w:val="659"/>
    <w:uiPriority w:val="11"/>
    <w:rPr>
      <w:sz w:val="24"/>
      <w:szCs w:val="24"/>
    </w:rPr>
  </w:style>
  <w:style w:type="paragraph" w:styleId="661">
    <w:name w:val="Quote"/>
    <w:basedOn w:val="815"/>
    <w:next w:val="815"/>
    <w:link w:val="662"/>
    <w:uiPriority w:val="29"/>
    <w:qFormat/>
    <w:pPr>
      <w:ind w:left="720" w:right="720"/>
    </w:pPr>
    <w:rPr>
      <w:i/>
    </w:rPr>
  </w:style>
  <w:style w:type="character" w:styleId="662">
    <w:name w:val="Quote Char"/>
    <w:link w:val="661"/>
    <w:uiPriority w:val="29"/>
    <w:rPr>
      <w:i/>
    </w:rPr>
  </w:style>
  <w:style w:type="paragraph" w:styleId="663">
    <w:name w:val="Intense Quote"/>
    <w:basedOn w:val="815"/>
    <w:next w:val="815"/>
    <w:link w:val="66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4">
    <w:name w:val="Intense Quote Char"/>
    <w:link w:val="663"/>
    <w:uiPriority w:val="30"/>
    <w:rPr>
      <w:i/>
    </w:rPr>
  </w:style>
  <w:style w:type="paragraph" w:styleId="665">
    <w:name w:val="Header"/>
    <w:basedOn w:val="815"/>
    <w:link w:val="66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6">
    <w:name w:val="Header Char"/>
    <w:basedOn w:val="816"/>
    <w:link w:val="665"/>
    <w:uiPriority w:val="99"/>
  </w:style>
  <w:style w:type="paragraph" w:styleId="667">
    <w:name w:val="Footer"/>
    <w:basedOn w:val="815"/>
    <w:link w:val="67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8">
    <w:name w:val="Footer Char"/>
    <w:basedOn w:val="816"/>
    <w:link w:val="667"/>
    <w:uiPriority w:val="99"/>
  </w:style>
  <w:style w:type="paragraph" w:styleId="669">
    <w:name w:val="Caption"/>
    <w:basedOn w:val="815"/>
    <w:next w:val="81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70">
    <w:name w:val="Caption Char"/>
    <w:basedOn w:val="669"/>
    <w:link w:val="667"/>
    <w:uiPriority w:val="99"/>
  </w:style>
  <w:style w:type="table" w:styleId="671">
    <w:name w:val="Table Grid"/>
    <w:basedOn w:val="81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2">
    <w:name w:val="Table Grid Light"/>
    <w:basedOn w:val="81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3">
    <w:name w:val="Plain Table 1"/>
    <w:basedOn w:val="81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4">
    <w:name w:val="Plain Table 2"/>
    <w:basedOn w:val="81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5">
    <w:name w:val="Plain Table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6">
    <w:name w:val="Plain Table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Plain Table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8">
    <w:name w:val="Grid Table 1 Light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1 Light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3">
    <w:name w:val="Grid Table 1 Light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4">
    <w:name w:val="Grid Table 1 Light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5">
    <w:name w:val="Grid Table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2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2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2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3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7">
    <w:name w:val="Grid Table 3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8">
    <w:name w:val="Grid Table 3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9">
    <w:name w:val="Grid Table 4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00">
    <w:name w:val="Grid Table 4 - Accent 1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01">
    <w:name w:val="Grid Table 4 - Accent 2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02">
    <w:name w:val="Grid Table 4 - Accent 3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3">
    <w:name w:val="Grid Table 4 - Accent 4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4">
    <w:name w:val="Grid Table 4 - Accent 5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5">
    <w:name w:val="Grid Table 4 - Accent 6"/>
    <w:basedOn w:val="81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6">
    <w:name w:val="Grid Table 5 Dark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10">
    <w:name w:val="Grid Table 5 Dark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11">
    <w:name w:val="Grid Table 5 Dark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12">
    <w:name w:val="Grid Table 5 Dark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3">
    <w:name w:val="Grid Table 6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4">
    <w:name w:val="Grid Table 6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5">
    <w:name w:val="Grid Table 6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6">
    <w:name w:val="Grid Table 6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7">
    <w:name w:val="Grid Table 6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8">
    <w:name w:val="Grid Table 6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9">
    <w:name w:val="Grid Table 6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20">
    <w:name w:val="Grid Table 7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7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7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7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1 Light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List Table 1 Light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List Table 1 Light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List Table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5">
    <w:name w:val="List Table 2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6">
    <w:name w:val="List Table 2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7">
    <w:name w:val="List Table 2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8">
    <w:name w:val="List Table 2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9">
    <w:name w:val="List Table 2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40">
    <w:name w:val="List Table 2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41">
    <w:name w:val="List Table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3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3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3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4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List Table 4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>
    <w:name w:val="List Table 4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List Table 5 Dark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5 Dark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0">
    <w:name w:val="List Table 5 Dark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1">
    <w:name w:val="List Table 5 Dark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62">
    <w:name w:val="List Table 6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3">
    <w:name w:val="List Table 6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4">
    <w:name w:val="List Table 6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5">
    <w:name w:val="List Table 6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6">
    <w:name w:val="List Table 6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7">
    <w:name w:val="List Table 6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8">
    <w:name w:val="List Table 6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9">
    <w:name w:val="List Table 7 Colorful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70">
    <w:name w:val="List Table 7 Colorful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71">
    <w:name w:val="List Table 7 Colorful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72">
    <w:name w:val="List Table 7 Colorful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3">
    <w:name w:val="List Table 7 Colorful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4">
    <w:name w:val="List Table 7 Colorful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5">
    <w:name w:val="List Table 7 Colorful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6">
    <w:name w:val="Lined - Accent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7">
    <w:name w:val="Lined - Accent 1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8">
    <w:name w:val="Lined - Accent 2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9">
    <w:name w:val="Lined - Accent 3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0">
    <w:name w:val="Lined - Accent 4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1">
    <w:name w:val="Lined - Accent 5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2">
    <w:name w:val="Lined - Accent 6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3">
    <w:name w:val="Bordered &amp; Lined - Accent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4">
    <w:name w:val="Bordered &amp; Lined - Accent 1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5">
    <w:name w:val="Bordered &amp; Lined - Accent 2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6">
    <w:name w:val="Bordered &amp; Lined - Accent 3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7">
    <w:name w:val="Bordered &amp; Lined - Accent 4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8">
    <w:name w:val="Bordered &amp; Lined - Accent 5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9">
    <w:name w:val="Bordered &amp; Lined - Accent 6"/>
    <w:basedOn w:val="81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0">
    <w:name w:val="Bordered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91">
    <w:name w:val="Bordered - Accent 1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92">
    <w:name w:val="Bordered - Accent 2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3">
    <w:name w:val="Bordered - Accent 3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4">
    <w:name w:val="Bordered - Accent 4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5">
    <w:name w:val="Bordered - Accent 5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6">
    <w:name w:val="Bordered - Accent 6"/>
    <w:basedOn w:val="81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7">
    <w:name w:val="Hyperlink"/>
    <w:uiPriority w:val="99"/>
    <w:unhideWhenUsed/>
    <w:rPr>
      <w:color w:val="0000ff" w:themeColor="hyperlink"/>
      <w:u w:val="single"/>
    </w:rPr>
  </w:style>
  <w:style w:type="paragraph" w:styleId="798">
    <w:name w:val="footnote text"/>
    <w:basedOn w:val="815"/>
    <w:link w:val="799"/>
    <w:uiPriority w:val="99"/>
    <w:semiHidden/>
    <w:unhideWhenUsed/>
    <w:pPr>
      <w:spacing w:after="40" w:line="240" w:lineRule="auto"/>
    </w:pPr>
    <w:rPr>
      <w:sz w:val="18"/>
    </w:rPr>
  </w:style>
  <w:style w:type="character" w:styleId="799">
    <w:name w:val="Footnote Text Char"/>
    <w:link w:val="798"/>
    <w:uiPriority w:val="99"/>
    <w:rPr>
      <w:sz w:val="18"/>
    </w:rPr>
  </w:style>
  <w:style w:type="character" w:styleId="800">
    <w:name w:val="footnote reference"/>
    <w:basedOn w:val="816"/>
    <w:uiPriority w:val="99"/>
    <w:unhideWhenUsed/>
    <w:rPr>
      <w:vertAlign w:val="superscript"/>
    </w:rPr>
  </w:style>
  <w:style w:type="paragraph" w:styleId="801">
    <w:name w:val="endnote text"/>
    <w:basedOn w:val="815"/>
    <w:link w:val="802"/>
    <w:uiPriority w:val="99"/>
    <w:semiHidden/>
    <w:unhideWhenUsed/>
    <w:pPr>
      <w:spacing w:after="0" w:line="240" w:lineRule="auto"/>
    </w:pPr>
    <w:rPr>
      <w:sz w:val="20"/>
    </w:rPr>
  </w:style>
  <w:style w:type="character" w:styleId="802">
    <w:name w:val="Endnote Text Char"/>
    <w:link w:val="801"/>
    <w:uiPriority w:val="99"/>
    <w:rPr>
      <w:sz w:val="20"/>
    </w:rPr>
  </w:style>
  <w:style w:type="character" w:styleId="803">
    <w:name w:val="endnote reference"/>
    <w:basedOn w:val="816"/>
    <w:uiPriority w:val="99"/>
    <w:semiHidden/>
    <w:unhideWhenUsed/>
    <w:rPr>
      <w:vertAlign w:val="superscript"/>
    </w:rPr>
  </w:style>
  <w:style w:type="paragraph" w:styleId="804">
    <w:name w:val="toc 1"/>
    <w:basedOn w:val="815"/>
    <w:next w:val="815"/>
    <w:uiPriority w:val="39"/>
    <w:unhideWhenUsed/>
    <w:pPr>
      <w:ind w:left="0" w:right="0" w:firstLine="0"/>
      <w:spacing w:after="57"/>
    </w:pPr>
  </w:style>
  <w:style w:type="paragraph" w:styleId="805">
    <w:name w:val="toc 2"/>
    <w:basedOn w:val="815"/>
    <w:next w:val="815"/>
    <w:uiPriority w:val="39"/>
    <w:unhideWhenUsed/>
    <w:pPr>
      <w:ind w:left="283" w:right="0" w:firstLine="0"/>
      <w:spacing w:after="57"/>
    </w:pPr>
  </w:style>
  <w:style w:type="paragraph" w:styleId="806">
    <w:name w:val="toc 3"/>
    <w:basedOn w:val="815"/>
    <w:next w:val="815"/>
    <w:uiPriority w:val="39"/>
    <w:unhideWhenUsed/>
    <w:pPr>
      <w:ind w:left="567" w:right="0" w:firstLine="0"/>
      <w:spacing w:after="57"/>
    </w:pPr>
  </w:style>
  <w:style w:type="paragraph" w:styleId="807">
    <w:name w:val="toc 4"/>
    <w:basedOn w:val="815"/>
    <w:next w:val="815"/>
    <w:uiPriority w:val="39"/>
    <w:unhideWhenUsed/>
    <w:pPr>
      <w:ind w:left="850" w:right="0" w:firstLine="0"/>
      <w:spacing w:after="57"/>
    </w:pPr>
  </w:style>
  <w:style w:type="paragraph" w:styleId="808">
    <w:name w:val="toc 5"/>
    <w:basedOn w:val="815"/>
    <w:next w:val="815"/>
    <w:uiPriority w:val="39"/>
    <w:unhideWhenUsed/>
    <w:pPr>
      <w:ind w:left="1134" w:right="0" w:firstLine="0"/>
      <w:spacing w:after="57"/>
    </w:pPr>
  </w:style>
  <w:style w:type="paragraph" w:styleId="809">
    <w:name w:val="toc 6"/>
    <w:basedOn w:val="815"/>
    <w:next w:val="815"/>
    <w:uiPriority w:val="39"/>
    <w:unhideWhenUsed/>
    <w:pPr>
      <w:ind w:left="1417" w:right="0" w:firstLine="0"/>
      <w:spacing w:after="57"/>
    </w:pPr>
  </w:style>
  <w:style w:type="paragraph" w:styleId="810">
    <w:name w:val="toc 7"/>
    <w:basedOn w:val="815"/>
    <w:next w:val="815"/>
    <w:uiPriority w:val="39"/>
    <w:unhideWhenUsed/>
    <w:pPr>
      <w:ind w:left="1701" w:right="0" w:firstLine="0"/>
      <w:spacing w:after="57"/>
    </w:pPr>
  </w:style>
  <w:style w:type="paragraph" w:styleId="811">
    <w:name w:val="toc 8"/>
    <w:basedOn w:val="815"/>
    <w:next w:val="815"/>
    <w:uiPriority w:val="39"/>
    <w:unhideWhenUsed/>
    <w:pPr>
      <w:ind w:left="1984" w:right="0" w:firstLine="0"/>
      <w:spacing w:after="57"/>
    </w:pPr>
  </w:style>
  <w:style w:type="paragraph" w:styleId="812">
    <w:name w:val="toc 9"/>
    <w:basedOn w:val="815"/>
    <w:next w:val="815"/>
    <w:uiPriority w:val="39"/>
    <w:unhideWhenUsed/>
    <w:pPr>
      <w:ind w:left="2268" w:right="0" w:firstLine="0"/>
      <w:spacing w:after="57"/>
    </w:pPr>
  </w:style>
  <w:style w:type="paragraph" w:styleId="813">
    <w:name w:val="TOC Heading"/>
    <w:uiPriority w:val="39"/>
    <w:unhideWhenUsed/>
  </w:style>
  <w:style w:type="paragraph" w:styleId="814">
    <w:name w:val="table of figures"/>
    <w:basedOn w:val="815"/>
    <w:next w:val="815"/>
    <w:uiPriority w:val="99"/>
    <w:unhideWhenUsed/>
    <w:pPr>
      <w:spacing w:after="0" w:afterAutospacing="0"/>
    </w:pPr>
  </w:style>
  <w:style w:type="paragraph" w:styleId="815" w:default="1">
    <w:name w:val="Normal"/>
    <w:qFormat/>
  </w:style>
  <w:style w:type="character" w:styleId="816" w:default="1">
    <w:name w:val="Default Paragraph Font"/>
    <w:uiPriority w:val="1"/>
    <w:semiHidden/>
    <w:unhideWhenUsed/>
  </w:style>
  <w:style w:type="table" w:styleId="81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8" w:default="1">
    <w:name w:val="No List"/>
    <w:uiPriority w:val="99"/>
    <w:semiHidden/>
    <w:unhideWhenUsed/>
  </w:style>
  <w:style w:type="paragraph" w:styleId="819">
    <w:name w:val="Balloon Text"/>
    <w:basedOn w:val="815"/>
    <w:link w:val="820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20" w:customStyle="1">
    <w:name w:val="Текст выноски Знак"/>
    <w:basedOn w:val="816"/>
    <w:link w:val="819"/>
    <w:uiPriority w:val="99"/>
    <w:semiHidden/>
    <w:rPr>
      <w:rFonts w:ascii="Tahoma" w:hAnsi="Tahoma" w:cs="Tahoma"/>
      <w:sz w:val="16"/>
      <w:szCs w:val="16"/>
    </w:rPr>
  </w:style>
  <w:style w:type="paragraph" w:styleId="821">
    <w:name w:val="List Paragraph"/>
    <w:basedOn w:val="815"/>
    <w:uiPriority w:val="34"/>
    <w:qFormat/>
    <w:pPr>
      <w:ind w:left="708"/>
      <w:spacing w:after="0" w:line="240" w:lineRule="auto"/>
    </w:pPr>
    <w:rPr>
      <w:rFonts w:ascii="Calibri" w:hAnsi="Calibri" w:eastAsia="Calibri" w:cs="Times New Roma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Р7-Офис/7.2.2.36</Application>
  <Company>ВС РХ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Попова</dc:creator>
  <cp:keywords/>
  <dc:description/>
  <cp:revision>24</cp:revision>
  <dcterms:created xsi:type="dcterms:W3CDTF">2021-06-07T07:49:00Z</dcterms:created>
  <dcterms:modified xsi:type="dcterms:W3CDTF">2023-01-23T09:02:50Z</dcterms:modified>
</cp:coreProperties>
</file>