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4D" w:rsidRPr="002625B8" w:rsidRDefault="00E0744D" w:rsidP="00E07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B8">
        <w:rPr>
          <w:rFonts w:ascii="Times New Roman" w:hAnsi="Times New Roman" w:cs="Times New Roman"/>
          <w:b/>
          <w:sz w:val="28"/>
          <w:szCs w:val="28"/>
        </w:rPr>
        <w:t>Обзор обращений граждан,</w:t>
      </w:r>
    </w:p>
    <w:p w:rsidR="00E0744D" w:rsidRDefault="00E0744D" w:rsidP="00E07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5B8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625B8">
        <w:rPr>
          <w:rFonts w:ascii="Times New Roman" w:hAnsi="Times New Roman" w:cs="Times New Roman"/>
          <w:b/>
          <w:sz w:val="28"/>
          <w:szCs w:val="28"/>
        </w:rPr>
        <w:t xml:space="preserve"> в Вер</w:t>
      </w:r>
      <w:r>
        <w:rPr>
          <w:rFonts w:ascii="Times New Roman" w:hAnsi="Times New Roman" w:cs="Times New Roman"/>
          <w:b/>
          <w:sz w:val="28"/>
          <w:szCs w:val="28"/>
        </w:rPr>
        <w:t>ховный Совет Республики Хакасия</w:t>
      </w:r>
    </w:p>
    <w:p w:rsidR="00E0744D" w:rsidRPr="002625B8" w:rsidRDefault="00E0744D" w:rsidP="00E07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E9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E0744D" w:rsidRDefault="00E0744D" w:rsidP="00E07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DF7" w:rsidRDefault="00E0744D" w:rsidP="00F42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4C1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4C1D">
        <w:rPr>
          <w:rFonts w:ascii="Times New Roman" w:hAnsi="Times New Roman" w:cs="Times New Roman"/>
          <w:sz w:val="28"/>
          <w:szCs w:val="28"/>
        </w:rPr>
        <w:t xml:space="preserve"> год</w:t>
      </w:r>
      <w:r w:rsidR="00F4259D">
        <w:rPr>
          <w:rFonts w:ascii="Times New Roman" w:hAnsi="Times New Roman" w:cs="Times New Roman"/>
          <w:sz w:val="28"/>
          <w:szCs w:val="28"/>
        </w:rPr>
        <w:t>у</w:t>
      </w:r>
      <w:r w:rsidRPr="005D4C1D">
        <w:rPr>
          <w:rFonts w:ascii="Times New Roman" w:hAnsi="Times New Roman" w:cs="Times New Roman"/>
          <w:sz w:val="28"/>
          <w:szCs w:val="28"/>
        </w:rPr>
        <w:t xml:space="preserve"> в Верховный Совет Республики Хакасия </w:t>
      </w:r>
      <w:r>
        <w:rPr>
          <w:rFonts w:ascii="Times New Roman" w:hAnsi="Times New Roman" w:cs="Times New Roman"/>
          <w:sz w:val="28"/>
          <w:szCs w:val="28"/>
        </w:rPr>
        <w:t>(далее – Верхо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ный Совет) </w:t>
      </w:r>
      <w:r w:rsidRPr="005D4C1D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4259D" w:rsidRPr="00181DF7">
        <w:rPr>
          <w:rFonts w:ascii="Times New Roman" w:hAnsi="Times New Roman" w:cs="Times New Roman"/>
          <w:b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425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4259D">
        <w:rPr>
          <w:rFonts w:ascii="Times New Roman" w:hAnsi="Times New Roman" w:cs="Times New Roman"/>
          <w:sz w:val="28"/>
          <w:szCs w:val="28"/>
        </w:rPr>
        <w:t xml:space="preserve"> и объединений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59D" w:rsidRDefault="00F4259D" w:rsidP="00F42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744D" w:rsidTr="00D57595">
        <w:tc>
          <w:tcPr>
            <w:tcW w:w="4785" w:type="dxa"/>
          </w:tcPr>
          <w:p w:rsidR="00E0744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E0744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744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E0744D" w:rsidTr="00D57595">
        <w:tc>
          <w:tcPr>
            <w:tcW w:w="4785" w:type="dxa"/>
          </w:tcPr>
          <w:p w:rsidR="00E0744D" w:rsidRDefault="00E0744D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E0744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44D" w:rsidTr="00D57595">
        <w:tc>
          <w:tcPr>
            <w:tcW w:w="4785" w:type="dxa"/>
          </w:tcPr>
          <w:p w:rsidR="00E0744D" w:rsidRDefault="00E0744D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E0744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744D" w:rsidTr="00D57595">
        <w:tc>
          <w:tcPr>
            <w:tcW w:w="4785" w:type="dxa"/>
          </w:tcPr>
          <w:p w:rsidR="00E0744D" w:rsidRDefault="00E0744D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E0744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1E22" w:rsidTr="00D57595">
        <w:tc>
          <w:tcPr>
            <w:tcW w:w="4785" w:type="dxa"/>
          </w:tcPr>
          <w:p w:rsidR="00B41E22" w:rsidRDefault="00B41E22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B41E22" w:rsidRDefault="00B41E22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1E22" w:rsidTr="00D57595">
        <w:tc>
          <w:tcPr>
            <w:tcW w:w="4785" w:type="dxa"/>
          </w:tcPr>
          <w:p w:rsidR="00B41E22" w:rsidRDefault="00B41E22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B41E22" w:rsidRDefault="00B41E22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1E22" w:rsidTr="00D57595">
        <w:tc>
          <w:tcPr>
            <w:tcW w:w="4785" w:type="dxa"/>
          </w:tcPr>
          <w:p w:rsidR="00B41E22" w:rsidRDefault="00B41E22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86" w:type="dxa"/>
          </w:tcPr>
          <w:p w:rsidR="00B41E22" w:rsidRDefault="00B41E22" w:rsidP="00F4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1E22" w:rsidTr="00D57595">
        <w:tc>
          <w:tcPr>
            <w:tcW w:w="4785" w:type="dxa"/>
          </w:tcPr>
          <w:p w:rsidR="00B41E22" w:rsidRDefault="00B41E22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786" w:type="dxa"/>
          </w:tcPr>
          <w:p w:rsidR="00B41E22" w:rsidRDefault="00B41E22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1E22" w:rsidTr="00D57595">
        <w:tc>
          <w:tcPr>
            <w:tcW w:w="4785" w:type="dxa"/>
          </w:tcPr>
          <w:p w:rsidR="00B41E22" w:rsidRDefault="00B41E22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786" w:type="dxa"/>
          </w:tcPr>
          <w:p w:rsidR="00B41E22" w:rsidRDefault="00B41E22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1E22" w:rsidTr="00D57595">
        <w:tc>
          <w:tcPr>
            <w:tcW w:w="4785" w:type="dxa"/>
          </w:tcPr>
          <w:p w:rsidR="00B41E22" w:rsidRDefault="00B41E22" w:rsidP="00C957D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B41E22" w:rsidRDefault="00F4259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1E22" w:rsidTr="00D57595">
        <w:tc>
          <w:tcPr>
            <w:tcW w:w="4785" w:type="dxa"/>
          </w:tcPr>
          <w:p w:rsidR="00B41E22" w:rsidRDefault="00B41E22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B41E22" w:rsidRDefault="00B41E22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41E22" w:rsidTr="00D57595">
        <w:tc>
          <w:tcPr>
            <w:tcW w:w="4785" w:type="dxa"/>
          </w:tcPr>
          <w:p w:rsidR="00B41E22" w:rsidRDefault="00B41E22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B41E22" w:rsidRDefault="0077726B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41E22" w:rsidTr="00D57595">
        <w:tc>
          <w:tcPr>
            <w:tcW w:w="4785" w:type="dxa"/>
          </w:tcPr>
          <w:p w:rsidR="00B41E22" w:rsidRDefault="00B41E22" w:rsidP="00C9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B41E22" w:rsidRDefault="0077726B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77726B" w:rsidRDefault="0077726B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E22" w:rsidTr="00D57595">
        <w:tc>
          <w:tcPr>
            <w:tcW w:w="4785" w:type="dxa"/>
          </w:tcPr>
          <w:p w:rsidR="00B41E22" w:rsidRDefault="00C957D2" w:rsidP="00C957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786" w:type="dxa"/>
          </w:tcPr>
          <w:p w:rsidR="00B41E22" w:rsidRDefault="0077726B" w:rsidP="00D57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  <w:p w:rsidR="00C957D2" w:rsidRPr="009C2B4F" w:rsidRDefault="00C957D2" w:rsidP="00D57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57D2" w:rsidRDefault="00C957D2" w:rsidP="00C95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7D2" w:rsidRDefault="00C957D2" w:rsidP="00C95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E1865" wp14:editId="096ABE3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479F" w:rsidRDefault="0042479F" w:rsidP="00E074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970" w:rsidRDefault="00B42970" w:rsidP="00046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CF7">
        <w:rPr>
          <w:rFonts w:ascii="Times New Roman" w:hAnsi="Times New Roman" w:cs="Times New Roman"/>
          <w:sz w:val="28"/>
          <w:szCs w:val="28"/>
        </w:rPr>
        <w:t xml:space="preserve">В сентябре 2023 года был избран </w:t>
      </w:r>
      <w:r w:rsidR="00D30224" w:rsidRPr="00311CF7">
        <w:rPr>
          <w:rFonts w:ascii="Times New Roman" w:hAnsi="Times New Roman" w:cs="Times New Roman"/>
          <w:sz w:val="28"/>
          <w:szCs w:val="28"/>
        </w:rPr>
        <w:t>восьмой созыв Верховного Совета</w:t>
      </w:r>
      <w:r w:rsidRPr="00311CF7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="00416773">
        <w:rPr>
          <w:rFonts w:ascii="Times New Roman" w:hAnsi="Times New Roman" w:cs="Times New Roman"/>
          <w:sz w:val="28"/>
          <w:szCs w:val="28"/>
        </w:rPr>
        <w:t>,</w:t>
      </w:r>
      <w:r w:rsidR="00504060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5040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060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="00416773">
        <w:rPr>
          <w:rFonts w:ascii="Times New Roman" w:hAnsi="Times New Roman" w:cs="Times New Roman"/>
          <w:sz w:val="28"/>
          <w:szCs w:val="28"/>
        </w:rPr>
        <w:t>,</w:t>
      </w:r>
      <w:r w:rsidR="00504060">
        <w:rPr>
          <w:rFonts w:ascii="Times New Roman" w:hAnsi="Times New Roman" w:cs="Times New Roman"/>
          <w:sz w:val="28"/>
          <w:szCs w:val="28"/>
        </w:rPr>
        <w:t xml:space="preserve"> в </w:t>
      </w:r>
      <w:r w:rsidRPr="00311CF7">
        <w:rPr>
          <w:rFonts w:ascii="Times New Roman" w:hAnsi="Times New Roman" w:cs="Times New Roman"/>
          <w:sz w:val="28"/>
          <w:szCs w:val="28"/>
        </w:rPr>
        <w:t xml:space="preserve">четвертом квартале 2023 года возросло </w:t>
      </w:r>
      <w:r w:rsidRPr="00311CF7">
        <w:rPr>
          <w:rFonts w:ascii="Times New Roman" w:hAnsi="Times New Roman" w:cs="Times New Roman"/>
          <w:sz w:val="28"/>
          <w:szCs w:val="28"/>
        </w:rPr>
        <w:lastRenderedPageBreak/>
        <w:t>количество обращений</w:t>
      </w:r>
      <w:r w:rsidR="00504060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аибольшее количество </w:t>
      </w:r>
      <w:r w:rsidR="00311CF7" w:rsidRPr="00311CF7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311C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регистрировано в октябре – 38, в ноябре – 28 и декабре – 27.</w:t>
      </w:r>
    </w:p>
    <w:p w:rsidR="00181DF7" w:rsidRDefault="00181DF7" w:rsidP="00046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DF7" w:rsidRDefault="00181DF7" w:rsidP="00046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2022 годом (</w:t>
      </w:r>
      <w:r w:rsidRPr="00181DF7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обращений), в 2023 году увеличилось количество коллективных обращений – </w:t>
      </w:r>
      <w:r w:rsidRPr="00181DF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D2" w:rsidRDefault="00E0744D" w:rsidP="00046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Верховный Совет обращения поступали </w:t>
      </w:r>
      <w:r w:rsidRPr="00F4187F">
        <w:rPr>
          <w:rFonts w:ascii="Times New Roman" w:hAnsi="Times New Roman" w:cs="Times New Roman"/>
          <w:sz w:val="28"/>
          <w:szCs w:val="28"/>
        </w:rPr>
        <w:t xml:space="preserve">непосредственно от </w:t>
      </w:r>
      <w:r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41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41AE9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25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 п</w:t>
      </w:r>
      <w:r w:rsidRPr="00F4187F">
        <w:rPr>
          <w:rFonts w:ascii="Times New Roman" w:hAnsi="Times New Roman" w:cs="Times New Roman"/>
          <w:sz w:val="28"/>
          <w:szCs w:val="28"/>
        </w:rPr>
        <w:t>очту Р</w:t>
      </w:r>
      <w:r w:rsidR="00F4259D">
        <w:rPr>
          <w:rFonts w:ascii="Times New Roman" w:hAnsi="Times New Roman" w:cs="Times New Roman"/>
          <w:sz w:val="28"/>
          <w:szCs w:val="28"/>
        </w:rPr>
        <w:t>оссии,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почты</w:t>
      </w:r>
      <w:r w:rsidR="00F425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DF7">
        <w:rPr>
          <w:rFonts w:ascii="Times New Roman" w:hAnsi="Times New Roman" w:cs="Times New Roman"/>
          <w:sz w:val="28"/>
          <w:szCs w:val="28"/>
        </w:rPr>
        <w:t xml:space="preserve">После снятия ограничительных мер, введенных в результате </w:t>
      </w:r>
      <w:proofErr w:type="spellStart"/>
      <w:r w:rsidR="00181DF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81DF7">
        <w:rPr>
          <w:rFonts w:ascii="Times New Roman" w:hAnsi="Times New Roman" w:cs="Times New Roman"/>
          <w:sz w:val="28"/>
          <w:szCs w:val="28"/>
        </w:rPr>
        <w:t xml:space="preserve"> инфекции, в 2023</w:t>
      </w:r>
      <w:r w:rsidR="00046F78">
        <w:rPr>
          <w:rFonts w:ascii="Times New Roman" w:hAnsi="Times New Roman" w:cs="Times New Roman"/>
          <w:sz w:val="28"/>
          <w:szCs w:val="28"/>
        </w:rPr>
        <w:t xml:space="preserve"> </w:t>
      </w:r>
      <w:r w:rsidR="00181DF7">
        <w:rPr>
          <w:rFonts w:ascii="Times New Roman" w:hAnsi="Times New Roman" w:cs="Times New Roman"/>
          <w:sz w:val="28"/>
          <w:szCs w:val="28"/>
        </w:rPr>
        <w:t xml:space="preserve">году </w:t>
      </w:r>
      <w:r w:rsidR="00181DF7" w:rsidRPr="00181DF7">
        <w:rPr>
          <w:rFonts w:ascii="Times New Roman" w:hAnsi="Times New Roman" w:cs="Times New Roman"/>
          <w:sz w:val="28"/>
          <w:szCs w:val="28"/>
        </w:rPr>
        <w:t>о</w:t>
      </w:r>
      <w:r w:rsidR="00D30224" w:rsidRPr="00181DF7">
        <w:rPr>
          <w:rFonts w:ascii="Times New Roman" w:hAnsi="Times New Roman" w:cs="Times New Roman"/>
          <w:sz w:val="28"/>
          <w:szCs w:val="28"/>
        </w:rPr>
        <w:t xml:space="preserve">тмечается увеличение количества лично обратившихся граждан </w:t>
      </w:r>
      <w:r w:rsidR="00504060" w:rsidRPr="00181DF7">
        <w:rPr>
          <w:rFonts w:ascii="Times New Roman" w:hAnsi="Times New Roman" w:cs="Times New Roman"/>
          <w:sz w:val="28"/>
          <w:szCs w:val="28"/>
        </w:rPr>
        <w:t>– 55</w:t>
      </w:r>
      <w:r w:rsidR="00D30224">
        <w:rPr>
          <w:rFonts w:ascii="Times New Roman" w:hAnsi="Times New Roman" w:cs="Times New Roman"/>
          <w:sz w:val="28"/>
          <w:szCs w:val="28"/>
        </w:rPr>
        <w:t xml:space="preserve">. </w:t>
      </w:r>
      <w:r w:rsidR="00C957D2">
        <w:rPr>
          <w:rFonts w:ascii="Times New Roman" w:hAnsi="Times New Roman" w:cs="Times New Roman"/>
          <w:sz w:val="28"/>
          <w:szCs w:val="28"/>
        </w:rPr>
        <w:t>Обращения граждан, поступившие в фо</w:t>
      </w:r>
      <w:r w:rsidR="00C957D2">
        <w:rPr>
          <w:rFonts w:ascii="Times New Roman" w:hAnsi="Times New Roman" w:cs="Times New Roman"/>
          <w:sz w:val="28"/>
          <w:szCs w:val="28"/>
        </w:rPr>
        <w:t>р</w:t>
      </w:r>
      <w:r w:rsidR="00C957D2">
        <w:rPr>
          <w:rFonts w:ascii="Times New Roman" w:hAnsi="Times New Roman" w:cs="Times New Roman"/>
          <w:sz w:val="28"/>
          <w:szCs w:val="28"/>
        </w:rPr>
        <w:t>ме электронного документа, составляют 43,5%, что свидетельствует об а</w:t>
      </w:r>
      <w:r w:rsidR="00C957D2">
        <w:rPr>
          <w:rFonts w:ascii="Times New Roman" w:hAnsi="Times New Roman" w:cs="Times New Roman"/>
          <w:sz w:val="28"/>
          <w:szCs w:val="28"/>
        </w:rPr>
        <w:t>к</w:t>
      </w:r>
      <w:r w:rsidR="00C957D2">
        <w:rPr>
          <w:rFonts w:ascii="Times New Roman" w:hAnsi="Times New Roman" w:cs="Times New Roman"/>
          <w:sz w:val="28"/>
          <w:szCs w:val="28"/>
        </w:rPr>
        <w:t>тивном использовании гражданами информационных возможностей.</w:t>
      </w:r>
      <w:r w:rsidR="00D30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7D2" w:rsidRDefault="00C957D2" w:rsidP="00046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26B" w:rsidRDefault="0042479F" w:rsidP="00C95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9267C" wp14:editId="30262DE7">
            <wp:extent cx="5486400" cy="3200400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79F" w:rsidRDefault="0042479F" w:rsidP="00E074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44D" w:rsidRDefault="00E0744D" w:rsidP="00E0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87F">
        <w:rPr>
          <w:rFonts w:ascii="Times New Roman" w:hAnsi="Times New Roman" w:cs="Times New Roman"/>
          <w:sz w:val="28"/>
          <w:szCs w:val="28"/>
        </w:rPr>
        <w:t>Обращения поступа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4187F">
        <w:rPr>
          <w:rFonts w:ascii="Times New Roman" w:hAnsi="Times New Roman" w:cs="Times New Roman"/>
          <w:sz w:val="28"/>
          <w:szCs w:val="28"/>
        </w:rPr>
        <w:t xml:space="preserve"> как из городов и районов Республики Хакасия, так и из други</w:t>
      </w:r>
      <w:r>
        <w:rPr>
          <w:rFonts w:ascii="Times New Roman" w:hAnsi="Times New Roman" w:cs="Times New Roman"/>
          <w:sz w:val="28"/>
          <w:szCs w:val="28"/>
        </w:rPr>
        <w:t>х регионов Российской Федерации.</w:t>
      </w:r>
    </w:p>
    <w:p w:rsidR="00E0744D" w:rsidRDefault="00E0744D" w:rsidP="00E0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4C1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4C1D">
        <w:rPr>
          <w:rFonts w:ascii="Times New Roman" w:hAnsi="Times New Roman" w:cs="Times New Roman"/>
          <w:sz w:val="28"/>
          <w:szCs w:val="28"/>
        </w:rPr>
        <w:t xml:space="preserve"> год</w:t>
      </w:r>
      <w:r w:rsidR="00F4259D">
        <w:rPr>
          <w:rFonts w:ascii="Times New Roman" w:hAnsi="Times New Roman" w:cs="Times New Roman"/>
          <w:sz w:val="28"/>
          <w:szCs w:val="28"/>
        </w:rPr>
        <w:t>у</w:t>
      </w:r>
      <w:r w:rsidRPr="005D4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187F">
        <w:rPr>
          <w:rFonts w:ascii="Times New Roman" w:hAnsi="Times New Roman" w:cs="Times New Roman"/>
          <w:sz w:val="28"/>
          <w:szCs w:val="28"/>
        </w:rPr>
        <w:t xml:space="preserve">ольшинство составили </w:t>
      </w:r>
      <w:r>
        <w:rPr>
          <w:rFonts w:ascii="Times New Roman" w:hAnsi="Times New Roman" w:cs="Times New Roman"/>
          <w:sz w:val="28"/>
          <w:szCs w:val="28"/>
        </w:rPr>
        <w:t>обращения, поступившие из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и районов </w:t>
      </w:r>
      <w:r w:rsidRPr="00F4187F">
        <w:rPr>
          <w:rFonts w:ascii="Times New Roman" w:hAnsi="Times New Roman" w:cs="Times New Roman"/>
          <w:sz w:val="28"/>
          <w:szCs w:val="28"/>
        </w:rPr>
        <w:t>Республики Хакасия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7595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обращений. Наибольшее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обращений поступило из</w:t>
      </w:r>
      <w:r w:rsidR="00504060">
        <w:rPr>
          <w:rFonts w:ascii="Times New Roman" w:hAnsi="Times New Roman" w:cs="Times New Roman"/>
          <w:sz w:val="28"/>
          <w:szCs w:val="28"/>
        </w:rPr>
        <w:t xml:space="preserve"> городов </w:t>
      </w:r>
      <w:r w:rsidR="00504060" w:rsidRPr="00F4187F">
        <w:rPr>
          <w:rFonts w:ascii="Times New Roman" w:hAnsi="Times New Roman" w:cs="Times New Roman"/>
          <w:sz w:val="28"/>
          <w:szCs w:val="28"/>
        </w:rPr>
        <w:t>Республики Хакасия</w:t>
      </w:r>
      <w:r w:rsidR="00B27C10">
        <w:rPr>
          <w:rFonts w:ascii="Times New Roman" w:hAnsi="Times New Roman" w:cs="Times New Roman"/>
          <w:sz w:val="28"/>
          <w:szCs w:val="28"/>
        </w:rPr>
        <w:t>:</w:t>
      </w:r>
      <w:r w:rsidR="0050406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г. Абакана –</w:t>
      </w:r>
      <w:r w:rsidRPr="00D70F83">
        <w:rPr>
          <w:rFonts w:ascii="Times New Roman" w:hAnsi="Times New Roman" w:cs="Times New Roman"/>
          <w:sz w:val="28"/>
          <w:szCs w:val="28"/>
        </w:rPr>
        <w:t xml:space="preserve"> </w:t>
      </w:r>
      <w:r w:rsidR="00D5759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57595">
        <w:rPr>
          <w:rFonts w:ascii="Times New Roman" w:hAnsi="Times New Roman" w:cs="Times New Roman"/>
          <w:sz w:val="28"/>
          <w:szCs w:val="28"/>
        </w:rPr>
        <w:t>е</w:t>
      </w:r>
      <w:r w:rsidRPr="00D70F83">
        <w:rPr>
          <w:rFonts w:ascii="Times New Roman" w:hAnsi="Times New Roman" w:cs="Times New Roman"/>
          <w:sz w:val="28"/>
          <w:szCs w:val="28"/>
        </w:rPr>
        <w:t xml:space="preserve"> (</w:t>
      </w:r>
      <w:r w:rsidR="001443EE" w:rsidRPr="001443EE">
        <w:rPr>
          <w:rFonts w:ascii="Times New Roman" w:hAnsi="Times New Roman" w:cs="Times New Roman"/>
          <w:sz w:val="28"/>
          <w:szCs w:val="28"/>
        </w:rPr>
        <w:t>30</w:t>
      </w:r>
      <w:r w:rsidRPr="001443EE">
        <w:rPr>
          <w:rFonts w:ascii="Times New Roman" w:hAnsi="Times New Roman" w:cs="Times New Roman"/>
          <w:sz w:val="28"/>
          <w:szCs w:val="28"/>
        </w:rPr>
        <w:t>%</w:t>
      </w:r>
      <w:r w:rsidR="00453F26">
        <w:rPr>
          <w:rFonts w:ascii="Times New Roman" w:hAnsi="Times New Roman" w:cs="Times New Roman"/>
          <w:sz w:val="28"/>
          <w:szCs w:val="28"/>
        </w:rPr>
        <w:t xml:space="preserve">), г. Черногорска – 27 обращений (15,9%), г. Саяногорска  </w:t>
      </w:r>
      <w:r w:rsidR="00B27C10">
        <w:rPr>
          <w:rFonts w:ascii="Times New Roman" w:hAnsi="Times New Roman" w:cs="Times New Roman"/>
          <w:sz w:val="28"/>
          <w:szCs w:val="28"/>
        </w:rPr>
        <w:t>–</w:t>
      </w:r>
      <w:r w:rsidR="00453F26">
        <w:rPr>
          <w:rFonts w:ascii="Times New Roman" w:hAnsi="Times New Roman" w:cs="Times New Roman"/>
          <w:sz w:val="28"/>
          <w:szCs w:val="28"/>
        </w:rPr>
        <w:t xml:space="preserve"> 16 (9,3%).</w:t>
      </w:r>
    </w:p>
    <w:p w:rsidR="00504060" w:rsidRDefault="00504060" w:rsidP="00E0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районов </w:t>
      </w:r>
      <w:r w:rsidRPr="00F4187F">
        <w:rPr>
          <w:rFonts w:ascii="Times New Roman" w:hAnsi="Times New Roman" w:cs="Times New Roman"/>
          <w:sz w:val="28"/>
          <w:szCs w:val="28"/>
        </w:rPr>
        <w:t>Республики Хакасия</w:t>
      </w:r>
      <w:r>
        <w:rPr>
          <w:rFonts w:ascii="Times New Roman" w:hAnsi="Times New Roman" w:cs="Times New Roman"/>
          <w:sz w:val="28"/>
          <w:szCs w:val="28"/>
        </w:rPr>
        <w:t xml:space="preserve">, наибольшее количество обращений поступило из Усть-Абаканского района </w:t>
      </w:r>
      <w:r w:rsidR="00B473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3DD">
        <w:rPr>
          <w:rFonts w:ascii="Times New Roman" w:hAnsi="Times New Roman" w:cs="Times New Roman"/>
          <w:sz w:val="28"/>
          <w:szCs w:val="28"/>
        </w:rPr>
        <w:t>13 обращений (7,6% от общего числа поступивших обращений).</w:t>
      </w:r>
    </w:p>
    <w:p w:rsidR="00E0744D" w:rsidRDefault="00E0744D" w:rsidP="00E0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поступали обращения </w:t>
      </w:r>
      <w:r w:rsidRPr="00F4187F">
        <w:rPr>
          <w:rFonts w:ascii="Times New Roman" w:hAnsi="Times New Roman" w:cs="Times New Roman"/>
          <w:sz w:val="28"/>
          <w:szCs w:val="28"/>
        </w:rPr>
        <w:t>из други</w:t>
      </w:r>
      <w:r>
        <w:rPr>
          <w:rFonts w:ascii="Times New Roman" w:hAnsi="Times New Roman" w:cs="Times New Roman"/>
          <w:sz w:val="28"/>
          <w:szCs w:val="28"/>
        </w:rPr>
        <w:t>х регионов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(г. Москва, г. Калининград, г. Киров, </w:t>
      </w:r>
      <w:r w:rsidR="00F01E80">
        <w:rPr>
          <w:rFonts w:ascii="Times New Roman" w:hAnsi="Times New Roman" w:cs="Times New Roman"/>
          <w:sz w:val="28"/>
          <w:szCs w:val="28"/>
        </w:rPr>
        <w:t xml:space="preserve">Удмуртская Республика, </w:t>
      </w:r>
      <w:r w:rsidR="00134847">
        <w:rPr>
          <w:rFonts w:ascii="Times New Roman" w:hAnsi="Times New Roman" w:cs="Times New Roman"/>
          <w:sz w:val="28"/>
          <w:szCs w:val="28"/>
        </w:rPr>
        <w:t>Республ</w:t>
      </w:r>
      <w:r w:rsidR="00134847">
        <w:rPr>
          <w:rFonts w:ascii="Times New Roman" w:hAnsi="Times New Roman" w:cs="Times New Roman"/>
          <w:sz w:val="28"/>
          <w:szCs w:val="28"/>
        </w:rPr>
        <w:t>и</w:t>
      </w:r>
      <w:r w:rsidR="00134847">
        <w:rPr>
          <w:rFonts w:ascii="Times New Roman" w:hAnsi="Times New Roman" w:cs="Times New Roman"/>
          <w:sz w:val="28"/>
          <w:szCs w:val="28"/>
        </w:rPr>
        <w:t xml:space="preserve">ка Алтай, </w:t>
      </w:r>
      <w:r w:rsidR="00F01E80">
        <w:rPr>
          <w:rFonts w:ascii="Times New Roman" w:hAnsi="Times New Roman" w:cs="Times New Roman"/>
          <w:sz w:val="28"/>
          <w:szCs w:val="28"/>
        </w:rPr>
        <w:t>Республика Саха (Якутия), Красноярский край, Нижегородская о</w:t>
      </w:r>
      <w:r w:rsidR="00F01E80">
        <w:rPr>
          <w:rFonts w:ascii="Times New Roman" w:hAnsi="Times New Roman" w:cs="Times New Roman"/>
          <w:sz w:val="28"/>
          <w:szCs w:val="28"/>
        </w:rPr>
        <w:t>б</w:t>
      </w:r>
      <w:r w:rsidR="00F01E80">
        <w:rPr>
          <w:rFonts w:ascii="Times New Roman" w:hAnsi="Times New Roman" w:cs="Times New Roman"/>
          <w:sz w:val="28"/>
          <w:szCs w:val="28"/>
        </w:rPr>
        <w:t>ласть, Рязанская область</w:t>
      </w:r>
      <w:r w:rsidR="00134847">
        <w:rPr>
          <w:rFonts w:ascii="Times New Roman" w:hAnsi="Times New Roman" w:cs="Times New Roman"/>
          <w:sz w:val="28"/>
          <w:szCs w:val="28"/>
        </w:rPr>
        <w:t>, Иркутская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и др.) – </w:t>
      </w:r>
      <w:r w:rsidR="00D5759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  <w:proofErr w:type="gramEnd"/>
    </w:p>
    <w:p w:rsidR="00F4259D" w:rsidRDefault="00F4259D" w:rsidP="00E0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44D" w:rsidRPr="00C957D2" w:rsidRDefault="00E0744D" w:rsidP="00E074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D2">
        <w:rPr>
          <w:rFonts w:ascii="Times New Roman" w:hAnsi="Times New Roman" w:cs="Times New Roman"/>
          <w:b/>
          <w:sz w:val="24"/>
          <w:szCs w:val="24"/>
        </w:rPr>
        <w:lastRenderedPageBreak/>
        <w:t>Анализ</w:t>
      </w:r>
    </w:p>
    <w:p w:rsidR="00641AE9" w:rsidRPr="00C957D2" w:rsidRDefault="00E0744D" w:rsidP="00641A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D2">
        <w:rPr>
          <w:rFonts w:ascii="Times New Roman" w:hAnsi="Times New Roman" w:cs="Times New Roman"/>
          <w:b/>
          <w:sz w:val="24"/>
          <w:szCs w:val="24"/>
        </w:rPr>
        <w:t>поступления обращений по муниципальным образованиям Республики Хакасия</w:t>
      </w:r>
      <w:r w:rsidR="00641AE9" w:rsidRPr="00C95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7D2">
        <w:rPr>
          <w:rFonts w:ascii="Times New Roman" w:hAnsi="Times New Roman" w:cs="Times New Roman"/>
          <w:b/>
          <w:sz w:val="24"/>
          <w:szCs w:val="24"/>
        </w:rPr>
        <w:t>и</w:t>
      </w:r>
    </w:p>
    <w:p w:rsidR="00E0744D" w:rsidRPr="00C957D2" w:rsidRDefault="00E0744D" w:rsidP="00641A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D2">
        <w:rPr>
          <w:rFonts w:ascii="Times New Roman" w:hAnsi="Times New Roman" w:cs="Times New Roman"/>
          <w:b/>
          <w:sz w:val="24"/>
          <w:szCs w:val="24"/>
        </w:rPr>
        <w:t>другим субъектам Российской Федерации</w:t>
      </w:r>
    </w:p>
    <w:p w:rsidR="00F4259D" w:rsidRPr="00134847" w:rsidRDefault="00F4259D" w:rsidP="00E0744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7"/>
        <w:gridCol w:w="5181"/>
        <w:gridCol w:w="2117"/>
        <w:gridCol w:w="1366"/>
      </w:tblGrid>
      <w:tr w:rsidR="00E0744D" w:rsidRPr="00F4259D" w:rsidTr="00F4259D">
        <w:tc>
          <w:tcPr>
            <w:tcW w:w="907" w:type="dxa"/>
          </w:tcPr>
          <w:p w:rsidR="00E0744D" w:rsidRPr="00F4259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81" w:type="dxa"/>
          </w:tcPr>
          <w:p w:rsidR="00E0744D" w:rsidRPr="00F4259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42970" w:rsidRDefault="00B42970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0744D" w:rsidRPr="00F4259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366" w:type="dxa"/>
          </w:tcPr>
          <w:p w:rsidR="00E0744D" w:rsidRPr="00F4259D" w:rsidRDefault="00E0744D" w:rsidP="00D5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0744D" w:rsidRPr="00F4259D" w:rsidTr="00F4259D">
        <w:tc>
          <w:tcPr>
            <w:tcW w:w="907" w:type="dxa"/>
          </w:tcPr>
          <w:p w:rsidR="00E0744D" w:rsidRPr="00F4259D" w:rsidRDefault="00E0744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1" w:type="dxa"/>
          </w:tcPr>
          <w:p w:rsidR="00E0744D" w:rsidRPr="00F4259D" w:rsidRDefault="00E0744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  <w:tc>
          <w:tcPr>
            <w:tcW w:w="2117" w:type="dxa"/>
          </w:tcPr>
          <w:p w:rsidR="00E0744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66" w:type="dxa"/>
          </w:tcPr>
          <w:p w:rsidR="00E0744D" w:rsidRPr="00F4259D" w:rsidRDefault="001443EE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744D" w:rsidRPr="00F4259D" w:rsidTr="00F4259D">
        <w:tc>
          <w:tcPr>
            <w:tcW w:w="907" w:type="dxa"/>
          </w:tcPr>
          <w:p w:rsidR="00E0744D" w:rsidRPr="00F4259D" w:rsidRDefault="00E0744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1" w:type="dxa"/>
          </w:tcPr>
          <w:p w:rsidR="00E0744D" w:rsidRPr="00F4259D" w:rsidRDefault="00E0744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Абаза</w:t>
            </w:r>
          </w:p>
        </w:tc>
        <w:tc>
          <w:tcPr>
            <w:tcW w:w="2117" w:type="dxa"/>
          </w:tcPr>
          <w:p w:rsidR="00E0744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0744D" w:rsidRPr="00F4259D" w:rsidRDefault="001443EE" w:rsidP="00144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0744D" w:rsidRPr="00F4259D" w:rsidTr="00F4259D">
        <w:tc>
          <w:tcPr>
            <w:tcW w:w="907" w:type="dxa"/>
          </w:tcPr>
          <w:p w:rsidR="00E0744D" w:rsidRPr="00F4259D" w:rsidRDefault="00E0744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1" w:type="dxa"/>
          </w:tcPr>
          <w:p w:rsidR="00E0744D" w:rsidRPr="00F4259D" w:rsidRDefault="00E0744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Саяногорск</w:t>
            </w:r>
          </w:p>
        </w:tc>
        <w:tc>
          <w:tcPr>
            <w:tcW w:w="2117" w:type="dxa"/>
          </w:tcPr>
          <w:p w:rsidR="00E0744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6" w:type="dxa"/>
          </w:tcPr>
          <w:p w:rsidR="00E0744D" w:rsidRPr="00F4259D" w:rsidRDefault="001443EE" w:rsidP="00F01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F01E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59D" w:rsidRPr="00F4259D" w:rsidTr="00F4259D">
        <w:tc>
          <w:tcPr>
            <w:tcW w:w="907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1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Сорск</w:t>
            </w:r>
          </w:p>
        </w:tc>
        <w:tc>
          <w:tcPr>
            <w:tcW w:w="2117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F4259D" w:rsidRPr="00F4259D" w:rsidRDefault="001443EE" w:rsidP="00144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4259D" w:rsidRPr="00F4259D" w:rsidTr="00F4259D">
        <w:tc>
          <w:tcPr>
            <w:tcW w:w="907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1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Черногорск</w:t>
            </w:r>
          </w:p>
        </w:tc>
        <w:tc>
          <w:tcPr>
            <w:tcW w:w="2117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6" w:type="dxa"/>
          </w:tcPr>
          <w:p w:rsidR="00F4259D" w:rsidRPr="00F4259D" w:rsidRDefault="001443EE" w:rsidP="00144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F4259D" w:rsidRPr="00F4259D" w:rsidTr="00F4259D">
        <w:tc>
          <w:tcPr>
            <w:tcW w:w="907" w:type="dxa"/>
          </w:tcPr>
          <w:p w:rsidR="00F4259D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81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Аскизский</w:t>
            </w:r>
            <w:proofErr w:type="spellEnd"/>
            <w:r w:rsidRPr="00F4259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17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6" w:type="dxa"/>
          </w:tcPr>
          <w:p w:rsidR="00F4259D" w:rsidRPr="00F4259D" w:rsidRDefault="001443EE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F4259D" w:rsidRPr="00F4259D" w:rsidTr="00F4259D">
        <w:tc>
          <w:tcPr>
            <w:tcW w:w="907" w:type="dxa"/>
          </w:tcPr>
          <w:p w:rsidR="00F4259D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81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район</w:t>
            </w:r>
          </w:p>
        </w:tc>
        <w:tc>
          <w:tcPr>
            <w:tcW w:w="2117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6" w:type="dxa"/>
          </w:tcPr>
          <w:p w:rsidR="00F4259D" w:rsidRPr="00F4259D" w:rsidRDefault="001443EE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F4259D" w:rsidRPr="00F4259D" w:rsidTr="00F4259D">
        <w:tc>
          <w:tcPr>
            <w:tcW w:w="907" w:type="dxa"/>
          </w:tcPr>
          <w:p w:rsidR="00F4259D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81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Бейский</w:t>
            </w:r>
            <w:proofErr w:type="spellEnd"/>
            <w:r w:rsidRPr="00F4259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17" w:type="dxa"/>
          </w:tcPr>
          <w:p w:rsidR="00F4259D" w:rsidRPr="00F4259D" w:rsidRDefault="00F4259D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F4259D" w:rsidRPr="00F4259D" w:rsidRDefault="00F01E80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57595" w:rsidRPr="00F4259D" w:rsidTr="00F4259D">
        <w:tc>
          <w:tcPr>
            <w:tcW w:w="90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81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Боградский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17" w:type="dxa"/>
          </w:tcPr>
          <w:p w:rsidR="00D57595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D57595" w:rsidRPr="00F4259D" w:rsidRDefault="00F01E80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4259D" w:rsidRPr="00F4259D" w:rsidTr="00F4259D">
        <w:tc>
          <w:tcPr>
            <w:tcW w:w="907" w:type="dxa"/>
          </w:tcPr>
          <w:p w:rsidR="00F4259D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81" w:type="dxa"/>
          </w:tcPr>
          <w:p w:rsidR="00F4259D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2117" w:type="dxa"/>
          </w:tcPr>
          <w:p w:rsidR="00F4259D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F4259D" w:rsidRPr="00F4259D" w:rsidRDefault="00F01E80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D57595" w:rsidRPr="00F4259D" w:rsidTr="00F4259D">
        <w:tc>
          <w:tcPr>
            <w:tcW w:w="90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81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Таштыпский</w:t>
            </w:r>
            <w:proofErr w:type="spellEnd"/>
            <w:r w:rsidRPr="00F4259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1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D57595" w:rsidRPr="00F4259D" w:rsidRDefault="00F01E80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57595" w:rsidRPr="00F4259D" w:rsidTr="00F4259D">
        <w:tc>
          <w:tcPr>
            <w:tcW w:w="90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81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Усть-Абаканский район</w:t>
            </w:r>
          </w:p>
        </w:tc>
        <w:tc>
          <w:tcPr>
            <w:tcW w:w="211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6" w:type="dxa"/>
          </w:tcPr>
          <w:p w:rsidR="00D57595" w:rsidRPr="00F4259D" w:rsidRDefault="00F01E80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D57595" w:rsidRPr="00F4259D" w:rsidTr="00F4259D">
        <w:tc>
          <w:tcPr>
            <w:tcW w:w="90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81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1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D57595" w:rsidRPr="00F4259D" w:rsidRDefault="00F01E80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57595" w:rsidRPr="00F4259D" w:rsidTr="00F4259D">
        <w:tc>
          <w:tcPr>
            <w:tcW w:w="90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81" w:type="dxa"/>
          </w:tcPr>
          <w:p w:rsidR="00D57595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9D">
              <w:rPr>
                <w:rFonts w:ascii="Times New Roman" w:hAnsi="Times New Roman" w:cs="Times New Roman"/>
                <w:sz w:val="28"/>
                <w:szCs w:val="28"/>
              </w:rPr>
              <w:t>Другие субъекты Российской Федерации</w:t>
            </w:r>
          </w:p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6" w:type="dxa"/>
          </w:tcPr>
          <w:p w:rsidR="00D57595" w:rsidRPr="00F4259D" w:rsidRDefault="00F01E80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D57595" w:rsidRPr="00F4259D" w:rsidTr="00F4259D">
        <w:tc>
          <w:tcPr>
            <w:tcW w:w="90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D57595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D57595" w:rsidRPr="00F4259D" w:rsidRDefault="00D57595" w:rsidP="00D575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366" w:type="dxa"/>
          </w:tcPr>
          <w:p w:rsidR="00D57595" w:rsidRPr="00F4259D" w:rsidRDefault="00F01E80" w:rsidP="00D575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4259D" w:rsidRDefault="00F4259D" w:rsidP="00E07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4D" w:rsidRDefault="00E0744D" w:rsidP="00E07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7F">
        <w:rPr>
          <w:rFonts w:ascii="Times New Roman" w:hAnsi="Times New Roman" w:cs="Times New Roman"/>
          <w:sz w:val="28"/>
          <w:szCs w:val="28"/>
        </w:rPr>
        <w:t xml:space="preserve">Большинство авторов </w:t>
      </w:r>
      <w:r>
        <w:rPr>
          <w:rFonts w:ascii="Times New Roman" w:hAnsi="Times New Roman" w:cs="Times New Roman"/>
          <w:sz w:val="28"/>
          <w:szCs w:val="28"/>
        </w:rPr>
        <w:t xml:space="preserve">не указывают свой социальный статус, но чаще обращаются - пенсионеры, инвалиды, ветераны труда, многодетные семьи, </w:t>
      </w:r>
      <w:r w:rsidR="00453F26">
        <w:rPr>
          <w:rFonts w:ascii="Times New Roman" w:hAnsi="Times New Roman" w:cs="Times New Roman"/>
          <w:sz w:val="28"/>
          <w:szCs w:val="28"/>
        </w:rPr>
        <w:t>участники</w:t>
      </w:r>
      <w:r w:rsidR="00453F26" w:rsidRPr="00453F26">
        <w:rPr>
          <w:rFonts w:ascii="Times New Roman" w:hAnsi="Times New Roman" w:cs="Times New Roman"/>
          <w:sz w:val="28"/>
          <w:szCs w:val="28"/>
        </w:rPr>
        <w:t xml:space="preserve"> </w:t>
      </w:r>
      <w:r w:rsidR="00453F26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(далее – </w:t>
      </w:r>
      <w:proofErr w:type="spellStart"/>
      <w:r w:rsidR="00453F26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453F26">
        <w:rPr>
          <w:rFonts w:ascii="Times New Roman" w:hAnsi="Times New Roman" w:cs="Times New Roman"/>
          <w:sz w:val="28"/>
          <w:szCs w:val="28"/>
        </w:rPr>
        <w:t xml:space="preserve">), также члены семей участников </w:t>
      </w:r>
      <w:proofErr w:type="spellStart"/>
      <w:r w:rsidR="00453F26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453F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сироты, осужденные или заключенные под стражу.</w:t>
      </w:r>
    </w:p>
    <w:p w:rsidR="00E0744D" w:rsidRDefault="00E0744D" w:rsidP="00E074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5A6">
        <w:rPr>
          <w:rFonts w:ascii="Times New Roman" w:hAnsi="Times New Roman" w:cs="Times New Roman"/>
          <w:sz w:val="28"/>
          <w:szCs w:val="28"/>
        </w:rPr>
        <w:t xml:space="preserve">В тематическом разрезе за </w:t>
      </w:r>
      <w:r w:rsidRPr="005D4C1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4C1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5A6">
        <w:rPr>
          <w:rFonts w:ascii="Times New Roman" w:hAnsi="Times New Roman" w:cs="Times New Roman"/>
          <w:sz w:val="28"/>
          <w:szCs w:val="28"/>
        </w:rPr>
        <w:t xml:space="preserve">актуальными являлись вопросы, связанные с государством, обществом и политикой, таких обращений было </w:t>
      </w:r>
      <w:r w:rsidR="00134847">
        <w:rPr>
          <w:rFonts w:ascii="Times New Roman" w:hAnsi="Times New Roman" w:cs="Times New Roman"/>
          <w:sz w:val="28"/>
          <w:szCs w:val="28"/>
        </w:rPr>
        <w:t>55</w:t>
      </w:r>
      <w:r w:rsidRPr="000415A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34847" w:rsidRPr="00134847">
        <w:rPr>
          <w:rFonts w:ascii="Times New Roman" w:hAnsi="Times New Roman" w:cs="Times New Roman"/>
          <w:sz w:val="28"/>
          <w:szCs w:val="28"/>
        </w:rPr>
        <w:t>3</w:t>
      </w:r>
      <w:r w:rsidRPr="00134847">
        <w:rPr>
          <w:rFonts w:ascii="Times New Roman" w:hAnsi="Times New Roman" w:cs="Times New Roman"/>
          <w:sz w:val="28"/>
          <w:szCs w:val="28"/>
        </w:rPr>
        <w:t>2,4 %</w:t>
      </w:r>
      <w:r w:rsidRPr="000415A6">
        <w:rPr>
          <w:rFonts w:ascii="Times New Roman" w:hAnsi="Times New Roman" w:cs="Times New Roman"/>
          <w:sz w:val="28"/>
          <w:szCs w:val="28"/>
        </w:rPr>
        <w:t xml:space="preserve"> (это вопросы совершенствования законодательства, предложения о внесении изменений в законы</w:t>
      </w:r>
      <w:r>
        <w:rPr>
          <w:rFonts w:ascii="Times New Roman" w:hAnsi="Times New Roman" w:cs="Times New Roman"/>
          <w:sz w:val="28"/>
          <w:szCs w:val="28"/>
        </w:rPr>
        <w:t>, обсуждение проектов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ральных законов, внесенных в Государственную Думу Федерального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Российской Федерации на рассмотрение и т.п.)</w:t>
      </w:r>
      <w:r w:rsidRPr="004B7436">
        <w:rPr>
          <w:rFonts w:ascii="Times New Roman" w:hAnsi="Times New Roman" w:cs="Times New Roman"/>
          <w:sz w:val="28"/>
          <w:szCs w:val="28"/>
        </w:rPr>
        <w:t>.</w:t>
      </w:r>
    </w:p>
    <w:p w:rsidR="00134847" w:rsidRDefault="00134847" w:rsidP="00E07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4F" w:rsidRPr="00134847" w:rsidRDefault="008E6F4F" w:rsidP="008E6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847">
        <w:rPr>
          <w:rFonts w:ascii="Times New Roman" w:hAnsi="Times New Roman" w:cs="Times New Roman"/>
          <w:b/>
          <w:sz w:val="24"/>
          <w:szCs w:val="24"/>
        </w:rPr>
        <w:t>Тематика обращений</w:t>
      </w:r>
    </w:p>
    <w:p w:rsidR="00134847" w:rsidRPr="00134847" w:rsidRDefault="00134847" w:rsidP="008E6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1241"/>
      </w:tblGrid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Общие вопросы государственного управл</w:t>
            </w: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Здравоохранение. Физическая культура и спорт. Туризм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социальное стр</w:t>
            </w: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хование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Образование. Наука. Культура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Финансовые вопросы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Оборона. Вооруженные Силы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34847" w:rsidRPr="001443EE" w:rsidTr="00181DF7">
        <w:tc>
          <w:tcPr>
            <w:tcW w:w="67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Труд и занятость населения</w:t>
            </w:r>
          </w:p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34847" w:rsidRPr="003D6F79" w:rsidRDefault="00134847" w:rsidP="0018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840D14" w:rsidRDefault="00840D14" w:rsidP="0013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F78" w:rsidRDefault="00FC49A0" w:rsidP="00046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6F78">
        <w:rPr>
          <w:rFonts w:ascii="Times New Roman" w:hAnsi="Times New Roman" w:cs="Times New Roman"/>
          <w:sz w:val="28"/>
          <w:szCs w:val="28"/>
        </w:rPr>
        <w:t xml:space="preserve"> обращениях, поступивших в Верховный Совет, затрагивали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046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блемы жилищно-коммунального комплекса </w:t>
      </w:r>
      <w:r w:rsidR="00046F78">
        <w:rPr>
          <w:rFonts w:ascii="Times New Roman" w:hAnsi="Times New Roman" w:cs="Times New Roman"/>
          <w:sz w:val="28"/>
          <w:szCs w:val="28"/>
        </w:rPr>
        <w:t>(14,6%), которые включали в</w:t>
      </w:r>
      <w:r w:rsidR="00046F78">
        <w:rPr>
          <w:rFonts w:ascii="Times New Roman" w:hAnsi="Times New Roman" w:cs="Times New Roman"/>
          <w:sz w:val="28"/>
          <w:szCs w:val="28"/>
        </w:rPr>
        <w:t>о</w:t>
      </w:r>
      <w:r w:rsidR="00046F78">
        <w:rPr>
          <w:rFonts w:ascii="Times New Roman" w:hAnsi="Times New Roman" w:cs="Times New Roman"/>
          <w:sz w:val="28"/>
          <w:szCs w:val="28"/>
        </w:rPr>
        <w:t>просы благоустройства городов и поселков; жилья и коммунального обсл</w:t>
      </w:r>
      <w:r w:rsidR="00046F78">
        <w:rPr>
          <w:rFonts w:ascii="Times New Roman" w:hAnsi="Times New Roman" w:cs="Times New Roman"/>
          <w:sz w:val="28"/>
          <w:szCs w:val="28"/>
        </w:rPr>
        <w:t>у</w:t>
      </w:r>
      <w:r w:rsidR="00046F78">
        <w:rPr>
          <w:rFonts w:ascii="Times New Roman" w:hAnsi="Times New Roman" w:cs="Times New Roman"/>
          <w:sz w:val="28"/>
          <w:szCs w:val="28"/>
        </w:rPr>
        <w:t>живания населения;</w:t>
      </w:r>
      <w:r w:rsidR="00046F78" w:rsidRPr="00416773">
        <w:rPr>
          <w:rFonts w:ascii="Times New Roman" w:hAnsi="Times New Roman" w:cs="Times New Roman"/>
          <w:sz w:val="28"/>
          <w:szCs w:val="28"/>
        </w:rPr>
        <w:t xml:space="preserve"> </w:t>
      </w:r>
      <w:r w:rsidR="00046F78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046F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46F78">
        <w:rPr>
          <w:rFonts w:ascii="Times New Roman" w:hAnsi="Times New Roman" w:cs="Times New Roman"/>
          <w:sz w:val="28"/>
          <w:szCs w:val="28"/>
        </w:rPr>
        <w:t>, водо-, газо- и теплоснабжение, оплата жили</w:t>
      </w:r>
      <w:r w:rsidR="00046F78">
        <w:rPr>
          <w:rFonts w:ascii="Times New Roman" w:hAnsi="Times New Roman" w:cs="Times New Roman"/>
          <w:sz w:val="28"/>
          <w:szCs w:val="28"/>
        </w:rPr>
        <w:t>щ</w:t>
      </w:r>
      <w:r w:rsidR="00046F78">
        <w:rPr>
          <w:rFonts w:ascii="Times New Roman" w:hAnsi="Times New Roman" w:cs="Times New Roman"/>
          <w:sz w:val="28"/>
          <w:szCs w:val="28"/>
        </w:rPr>
        <w:t>но-коммунальных услуг; тарифы и льготы по оплате жилищно-коммунальных услуг; и т.п.</w:t>
      </w:r>
    </w:p>
    <w:p w:rsidR="00FC49A0" w:rsidRDefault="00FC49A0" w:rsidP="00FC4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поступали вопросы с</w:t>
      </w:r>
      <w:r w:rsidRPr="001443EE">
        <w:rPr>
          <w:rFonts w:ascii="Times New Roman" w:hAnsi="Times New Roman" w:cs="Times New Roman"/>
          <w:sz w:val="28"/>
          <w:szCs w:val="28"/>
        </w:rPr>
        <w:t>оциального обеспечения</w:t>
      </w:r>
      <w:r>
        <w:rPr>
          <w:rFonts w:ascii="Times New Roman" w:hAnsi="Times New Roman" w:cs="Times New Roman"/>
          <w:sz w:val="28"/>
          <w:szCs w:val="28"/>
        </w:rPr>
        <w:t>, социального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хования, которые составляют 12,8% от общего количества обращений,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ступивших в 2023 году, </w:t>
      </w:r>
      <w:r w:rsidRPr="00046F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назначение и пересмотр размеров пенсий,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инвалидности, временной нетрудоспособности; меры социальной поддержки участникам специальной военной операции и членам их семей; социальная защита родственникам погибших военнослужащих; социальное обеспечение, материальная помощь и льготы многодетным и неполным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мьям и т.п.</w:t>
      </w:r>
      <w:proofErr w:type="gramEnd"/>
    </w:p>
    <w:p w:rsidR="0063142A" w:rsidRDefault="00FC49A0" w:rsidP="00631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году, также как и в 2022 году актуальными остаются вопросы</w:t>
      </w:r>
      <w:r w:rsidR="0063142A" w:rsidRPr="001443EE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F95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5A7D">
        <w:rPr>
          <w:rFonts w:ascii="Times New Roman" w:hAnsi="Times New Roman" w:cs="Times New Roman"/>
          <w:sz w:val="28"/>
          <w:szCs w:val="28"/>
        </w:rPr>
        <w:t>12,4%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142A" w:rsidRPr="001443EE">
        <w:rPr>
          <w:rFonts w:ascii="Times New Roman" w:hAnsi="Times New Roman" w:cs="Times New Roman"/>
          <w:sz w:val="28"/>
          <w:szCs w:val="28"/>
        </w:rPr>
        <w:t>, в частности, оказание медицинской помощи ра</w:t>
      </w:r>
      <w:r w:rsidR="0063142A" w:rsidRPr="001443EE">
        <w:rPr>
          <w:rFonts w:ascii="Times New Roman" w:hAnsi="Times New Roman" w:cs="Times New Roman"/>
          <w:sz w:val="28"/>
          <w:szCs w:val="28"/>
        </w:rPr>
        <w:t>з</w:t>
      </w:r>
      <w:r w:rsidR="0063142A" w:rsidRPr="001443EE">
        <w:rPr>
          <w:rFonts w:ascii="Times New Roman" w:hAnsi="Times New Roman" w:cs="Times New Roman"/>
          <w:sz w:val="28"/>
          <w:szCs w:val="28"/>
        </w:rPr>
        <w:t xml:space="preserve">личным категориям граждан; </w:t>
      </w:r>
      <w:r w:rsidR="0063142A">
        <w:rPr>
          <w:rFonts w:ascii="Times New Roman" w:hAnsi="Times New Roman" w:cs="Times New Roman"/>
          <w:sz w:val="28"/>
          <w:szCs w:val="28"/>
        </w:rPr>
        <w:t xml:space="preserve">вопросы диагностики, проведение медицинской </w:t>
      </w:r>
      <w:r w:rsidR="00F95A7D">
        <w:rPr>
          <w:rFonts w:ascii="Times New Roman" w:hAnsi="Times New Roman" w:cs="Times New Roman"/>
          <w:sz w:val="28"/>
          <w:szCs w:val="28"/>
        </w:rPr>
        <w:t>экспертизы; оказание высокотехнологичной медицинской помощи;</w:t>
      </w:r>
      <w:r w:rsidR="0063142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63142A">
        <w:rPr>
          <w:rFonts w:ascii="Times New Roman" w:hAnsi="Times New Roman" w:cs="Times New Roman"/>
          <w:sz w:val="28"/>
          <w:szCs w:val="28"/>
        </w:rPr>
        <w:t>е</w:t>
      </w:r>
      <w:r w:rsidR="0063142A">
        <w:rPr>
          <w:rFonts w:ascii="Times New Roman" w:hAnsi="Times New Roman" w:cs="Times New Roman"/>
          <w:sz w:val="28"/>
          <w:szCs w:val="28"/>
        </w:rPr>
        <w:t>чение населения медикаментами, лекарственными сред</w:t>
      </w:r>
      <w:r w:rsidR="00F95A7D">
        <w:rPr>
          <w:rFonts w:ascii="Times New Roman" w:hAnsi="Times New Roman" w:cs="Times New Roman"/>
          <w:sz w:val="28"/>
          <w:szCs w:val="28"/>
        </w:rPr>
        <w:t>ствами и т.д.</w:t>
      </w:r>
    </w:p>
    <w:p w:rsidR="00FC49A0" w:rsidRDefault="00F60DF2" w:rsidP="00FC4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49A0">
        <w:rPr>
          <w:rFonts w:ascii="Times New Roman" w:hAnsi="Times New Roman" w:cs="Times New Roman"/>
          <w:sz w:val="28"/>
          <w:szCs w:val="28"/>
        </w:rPr>
        <w:t xml:space="preserve"> Верховный Совет</w:t>
      </w:r>
      <w:r>
        <w:rPr>
          <w:rFonts w:ascii="Times New Roman" w:hAnsi="Times New Roman" w:cs="Times New Roman"/>
          <w:sz w:val="28"/>
          <w:szCs w:val="28"/>
        </w:rPr>
        <w:t xml:space="preserve"> в 2023 году поступили обращения от членов семей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(3,5%), которые были посвящены в</w:t>
      </w:r>
      <w:r w:rsidR="00FC49A0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ам, </w:t>
      </w:r>
      <w:r w:rsidR="00FC49A0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="00FC49A0">
        <w:rPr>
          <w:rFonts w:ascii="Times New Roman" w:hAnsi="Times New Roman" w:cs="Times New Roman"/>
          <w:sz w:val="28"/>
          <w:szCs w:val="28"/>
        </w:rPr>
        <w:t xml:space="preserve"> с прохождением военной службы в Вооруженных силах РФ в зоне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 Данные обращения рассматривались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местно с Правительством Республики Хакасия, военным комиссариатом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Хакасия, заявителям даны ответы по существу.</w:t>
      </w:r>
    </w:p>
    <w:p w:rsidR="00F60DF2" w:rsidRDefault="00F60DF2" w:rsidP="00F60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DF2">
        <w:rPr>
          <w:rFonts w:ascii="Times New Roman" w:hAnsi="Times New Roman" w:cs="Times New Roman"/>
          <w:sz w:val="28"/>
          <w:szCs w:val="28"/>
        </w:rPr>
        <w:t>Также как и в 2022 году, в 2023 году актуальными остаются вопросы экологии и охраны окружающей среды, в марте поступило коллективное о</w:t>
      </w:r>
      <w:r w:rsidRPr="00F60DF2">
        <w:rPr>
          <w:rFonts w:ascii="Times New Roman" w:hAnsi="Times New Roman" w:cs="Times New Roman"/>
          <w:sz w:val="28"/>
          <w:szCs w:val="28"/>
        </w:rPr>
        <w:t>б</w:t>
      </w:r>
      <w:r w:rsidRPr="00F60DF2">
        <w:rPr>
          <w:rFonts w:ascii="Times New Roman" w:hAnsi="Times New Roman" w:cs="Times New Roman"/>
          <w:sz w:val="28"/>
          <w:szCs w:val="28"/>
        </w:rPr>
        <w:t xml:space="preserve">ращение жителей с. Большие </w:t>
      </w:r>
      <w:proofErr w:type="spellStart"/>
      <w:r w:rsidRPr="00F60DF2">
        <w:rPr>
          <w:rFonts w:ascii="Times New Roman" w:hAnsi="Times New Roman" w:cs="Times New Roman"/>
          <w:sz w:val="28"/>
          <w:szCs w:val="28"/>
        </w:rPr>
        <w:t>Арбаты</w:t>
      </w:r>
      <w:proofErr w:type="spellEnd"/>
      <w:r w:rsidRPr="00F60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DF2">
        <w:rPr>
          <w:rFonts w:ascii="Times New Roman" w:hAnsi="Times New Roman" w:cs="Times New Roman"/>
          <w:sz w:val="28"/>
          <w:szCs w:val="28"/>
        </w:rPr>
        <w:t>Таштыпского</w:t>
      </w:r>
      <w:proofErr w:type="spellEnd"/>
      <w:r w:rsidRPr="00F60DF2">
        <w:rPr>
          <w:rFonts w:ascii="Times New Roman" w:hAnsi="Times New Roman" w:cs="Times New Roman"/>
          <w:sz w:val="28"/>
          <w:szCs w:val="28"/>
        </w:rPr>
        <w:t xml:space="preserve"> района, с требованием о недопущении геолого-разведочных работ и добычи драгметаллов в долине реки Большой Арбат, производимые ООО «Восход (на территории традиц</w:t>
      </w:r>
      <w:r w:rsidRPr="00F60DF2">
        <w:rPr>
          <w:rFonts w:ascii="Times New Roman" w:hAnsi="Times New Roman" w:cs="Times New Roman"/>
          <w:sz w:val="28"/>
          <w:szCs w:val="28"/>
        </w:rPr>
        <w:t>и</w:t>
      </w:r>
      <w:r w:rsidRPr="00F60DF2">
        <w:rPr>
          <w:rFonts w:ascii="Times New Roman" w:hAnsi="Times New Roman" w:cs="Times New Roman"/>
          <w:sz w:val="28"/>
          <w:szCs w:val="28"/>
        </w:rPr>
        <w:t>онного природопользования коренных малочисленных народов – шорцев).</w:t>
      </w:r>
      <w:r w:rsidRPr="00144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49A0" w:rsidRPr="001443EE" w:rsidRDefault="00F60DF2" w:rsidP="00FC4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граждан</w:t>
      </w:r>
      <w:r w:rsidR="00FC49A0" w:rsidRPr="001443EE">
        <w:rPr>
          <w:rFonts w:ascii="Times New Roman" w:hAnsi="Times New Roman" w:cs="Times New Roman"/>
          <w:sz w:val="28"/>
          <w:szCs w:val="28"/>
        </w:rPr>
        <w:t xml:space="preserve"> волнуют вопросы, связанные с обеспечением жильем, из числа граждан категории «дети-сироты», в отношении которых приняты судебные решения о предоставлении им жилья. </w:t>
      </w:r>
    </w:p>
    <w:p w:rsidR="00F60DF2" w:rsidRDefault="006B7DF3" w:rsidP="00631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поступали обращения по вопросам труда и занятости населения (соблюдение норм Трудового кодекса), защиты прав потребителей (продажа некачественного товара), ремонт, строительство дорог, обеспечение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доступности населению и т.п. </w:t>
      </w:r>
    </w:p>
    <w:p w:rsidR="006B7DF3" w:rsidRPr="003212DA" w:rsidRDefault="006B7DF3" w:rsidP="006B7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DA">
        <w:rPr>
          <w:rFonts w:ascii="Times New Roman" w:hAnsi="Times New Roman" w:cs="Times New Roman"/>
          <w:sz w:val="28"/>
          <w:szCs w:val="28"/>
        </w:rPr>
        <w:t>В течение года председателями комитетов В</w:t>
      </w:r>
      <w:r>
        <w:rPr>
          <w:rFonts w:ascii="Times New Roman" w:hAnsi="Times New Roman" w:cs="Times New Roman"/>
          <w:sz w:val="28"/>
          <w:szCs w:val="28"/>
        </w:rPr>
        <w:t xml:space="preserve">ерховного </w:t>
      </w:r>
      <w:r w:rsidRPr="0032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3212DA">
        <w:rPr>
          <w:rFonts w:ascii="Times New Roman" w:hAnsi="Times New Roman" w:cs="Times New Roman"/>
          <w:sz w:val="28"/>
          <w:szCs w:val="28"/>
        </w:rPr>
        <w:t xml:space="preserve"> провод</w:t>
      </w:r>
      <w:r w:rsidRPr="003212DA">
        <w:rPr>
          <w:rFonts w:ascii="Times New Roman" w:hAnsi="Times New Roman" w:cs="Times New Roman"/>
          <w:sz w:val="28"/>
          <w:szCs w:val="28"/>
        </w:rPr>
        <w:t>и</w:t>
      </w:r>
      <w:r w:rsidRPr="003212DA">
        <w:rPr>
          <w:rFonts w:ascii="Times New Roman" w:hAnsi="Times New Roman" w:cs="Times New Roman"/>
          <w:sz w:val="28"/>
          <w:szCs w:val="28"/>
        </w:rPr>
        <w:t>лись личные приемы граждан согласно существующему графику, который утверждается Председателем Верховного Совета. Кроме того, депутаты Ве</w:t>
      </w:r>
      <w:r w:rsidRPr="003212DA">
        <w:rPr>
          <w:rFonts w:ascii="Times New Roman" w:hAnsi="Times New Roman" w:cs="Times New Roman"/>
          <w:sz w:val="28"/>
          <w:szCs w:val="28"/>
        </w:rPr>
        <w:t>р</w:t>
      </w:r>
      <w:r w:rsidRPr="003212DA">
        <w:rPr>
          <w:rFonts w:ascii="Times New Roman" w:hAnsi="Times New Roman" w:cs="Times New Roman"/>
          <w:sz w:val="28"/>
          <w:szCs w:val="28"/>
        </w:rPr>
        <w:t>ховного Совета (председатели комитетов В</w:t>
      </w:r>
      <w:r>
        <w:rPr>
          <w:rFonts w:ascii="Times New Roman" w:hAnsi="Times New Roman" w:cs="Times New Roman"/>
          <w:sz w:val="28"/>
          <w:szCs w:val="28"/>
        </w:rPr>
        <w:t xml:space="preserve">ерховного </w:t>
      </w:r>
      <w:r w:rsidRPr="00321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3212DA">
        <w:rPr>
          <w:rFonts w:ascii="Times New Roman" w:hAnsi="Times New Roman" w:cs="Times New Roman"/>
          <w:sz w:val="28"/>
          <w:szCs w:val="28"/>
        </w:rPr>
        <w:t>) принимали и</w:t>
      </w:r>
      <w:r w:rsidRPr="003212DA">
        <w:rPr>
          <w:rFonts w:ascii="Times New Roman" w:hAnsi="Times New Roman" w:cs="Times New Roman"/>
          <w:sz w:val="28"/>
          <w:szCs w:val="28"/>
        </w:rPr>
        <w:t>з</w:t>
      </w:r>
      <w:r w:rsidRPr="003212DA">
        <w:rPr>
          <w:rFonts w:ascii="Times New Roman" w:hAnsi="Times New Roman" w:cs="Times New Roman"/>
          <w:sz w:val="28"/>
          <w:szCs w:val="28"/>
        </w:rPr>
        <w:t xml:space="preserve">бирателей на своих избирательных округах. </w:t>
      </w:r>
    </w:p>
    <w:p w:rsidR="006B7DF3" w:rsidRPr="00FD1F68" w:rsidRDefault="006B7DF3" w:rsidP="006B7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DA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1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снятием </w:t>
      </w:r>
      <w:r w:rsidRPr="003212DA">
        <w:rPr>
          <w:rFonts w:ascii="Times New Roman" w:hAnsi="Times New Roman" w:cs="Times New Roman"/>
          <w:sz w:val="28"/>
          <w:szCs w:val="28"/>
        </w:rPr>
        <w:t>ограничительны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12DA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, введенных в результате</w:t>
      </w:r>
      <w:r w:rsidRPr="0032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возобновился</w:t>
      </w:r>
      <w:r w:rsidRPr="003212DA">
        <w:rPr>
          <w:rFonts w:ascii="Times New Roman" w:hAnsi="Times New Roman" w:cs="Times New Roman"/>
          <w:sz w:val="28"/>
          <w:szCs w:val="28"/>
        </w:rPr>
        <w:t xml:space="preserve"> личный приём граждан Председателем Верховного 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1F68">
        <w:rPr>
          <w:rFonts w:ascii="Times New Roman" w:hAnsi="Times New Roman" w:cs="Times New Roman"/>
          <w:sz w:val="28"/>
          <w:szCs w:val="28"/>
        </w:rPr>
        <w:t>Все замечания и предложения, поступающие во время личных приемов, встреч, как в устной, так и письменной форме, обобщаются и анализируются.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68">
        <w:rPr>
          <w:rFonts w:ascii="Times New Roman" w:hAnsi="Times New Roman" w:cs="Times New Roman"/>
          <w:sz w:val="28"/>
          <w:szCs w:val="28"/>
        </w:rPr>
        <w:t>Информация о принятых мерах по обращению доводится до заявителя.</w:t>
      </w:r>
    </w:p>
    <w:p w:rsidR="006B7DF3" w:rsidRPr="00F4187F" w:rsidRDefault="006B7DF3" w:rsidP="006B7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обращения граждан </w:t>
      </w:r>
      <w:r w:rsidRPr="00F4187F">
        <w:rPr>
          <w:rFonts w:ascii="Times New Roman" w:hAnsi="Times New Roman" w:cs="Times New Roman"/>
          <w:sz w:val="28"/>
          <w:szCs w:val="28"/>
        </w:rPr>
        <w:t>зарегистрированы в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Федеральным законом от 02.05.2006 № 59-ФЗ «</w:t>
      </w:r>
      <w:r w:rsidRPr="004978C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 сроки, рассмотрены по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 или перенаправлены по компетенции, заявителя</w:t>
      </w:r>
      <w:r w:rsidRPr="00F4187F">
        <w:rPr>
          <w:rFonts w:ascii="Times New Roman" w:hAnsi="Times New Roman" w:cs="Times New Roman"/>
          <w:sz w:val="28"/>
          <w:szCs w:val="28"/>
        </w:rPr>
        <w:t>м направлены ответы.</w:t>
      </w:r>
    </w:p>
    <w:p w:rsidR="006B7DF3" w:rsidRDefault="006B7DF3" w:rsidP="006B7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F4187F">
        <w:rPr>
          <w:rFonts w:ascii="Times New Roman" w:hAnsi="Times New Roman" w:cs="Times New Roman"/>
          <w:sz w:val="28"/>
          <w:szCs w:val="28"/>
        </w:rPr>
        <w:t>Указа Президента РФ от 17 апреля 2017 года № 171 «О мониторинге и анализе результатов рассмотрения обращений граждан и о</w:t>
      </w:r>
      <w:r w:rsidRPr="00F4187F">
        <w:rPr>
          <w:rFonts w:ascii="Times New Roman" w:hAnsi="Times New Roman" w:cs="Times New Roman"/>
          <w:sz w:val="28"/>
          <w:szCs w:val="28"/>
        </w:rPr>
        <w:t>р</w:t>
      </w:r>
      <w:r w:rsidRPr="00F4187F">
        <w:rPr>
          <w:rFonts w:ascii="Times New Roman" w:hAnsi="Times New Roman" w:cs="Times New Roman"/>
          <w:sz w:val="28"/>
          <w:szCs w:val="28"/>
        </w:rPr>
        <w:t>ганизаций»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ежемесячно представлялась в Администрацию Президента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информация о результатах рассмотрения обращений граждан посредством использования закрытого информационного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ССТУ.РФ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7DF3" w:rsidRDefault="006B7DF3" w:rsidP="006B7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179" w:rsidRPr="001443EE" w:rsidRDefault="009D4179" w:rsidP="00840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0A6" w:rsidRPr="001443EE" w:rsidRDefault="009350A6" w:rsidP="00E0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350A6" w:rsidRPr="001443EE" w:rsidSect="0041677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DE" w:rsidRDefault="002C70DE" w:rsidP="00264F16">
      <w:pPr>
        <w:spacing w:after="0" w:line="240" w:lineRule="auto"/>
      </w:pPr>
      <w:r>
        <w:separator/>
      </w:r>
    </w:p>
  </w:endnote>
  <w:endnote w:type="continuationSeparator" w:id="0">
    <w:p w:rsidR="002C70DE" w:rsidRDefault="002C70DE" w:rsidP="0026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DE" w:rsidRDefault="002C70DE" w:rsidP="00264F16">
      <w:pPr>
        <w:spacing w:after="0" w:line="240" w:lineRule="auto"/>
      </w:pPr>
      <w:r>
        <w:separator/>
      </w:r>
    </w:p>
  </w:footnote>
  <w:footnote w:type="continuationSeparator" w:id="0">
    <w:p w:rsidR="002C70DE" w:rsidRDefault="002C70DE" w:rsidP="0026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357644"/>
      <w:docPartObj>
        <w:docPartGallery w:val="Page Numbers (Top of Page)"/>
        <w:docPartUnique/>
      </w:docPartObj>
    </w:sdtPr>
    <w:sdtEndPr/>
    <w:sdtContent>
      <w:p w:rsidR="00181DF7" w:rsidRDefault="00181D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DF2">
          <w:rPr>
            <w:noProof/>
          </w:rPr>
          <w:t>5</w:t>
        </w:r>
        <w:r>
          <w:fldChar w:fldCharType="end"/>
        </w:r>
      </w:p>
    </w:sdtContent>
  </w:sdt>
  <w:p w:rsidR="00181DF7" w:rsidRDefault="00181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4D"/>
    <w:rsid w:val="0000033B"/>
    <w:rsid w:val="00003C93"/>
    <w:rsid w:val="000114AE"/>
    <w:rsid w:val="00021B00"/>
    <w:rsid w:val="00046F78"/>
    <w:rsid w:val="0005500E"/>
    <w:rsid w:val="00063E81"/>
    <w:rsid w:val="00067A2F"/>
    <w:rsid w:val="00075C9E"/>
    <w:rsid w:val="0008490C"/>
    <w:rsid w:val="000C4EBB"/>
    <w:rsid w:val="000C7058"/>
    <w:rsid w:val="0010448C"/>
    <w:rsid w:val="001138F5"/>
    <w:rsid w:val="00114711"/>
    <w:rsid w:val="00134847"/>
    <w:rsid w:val="001407D9"/>
    <w:rsid w:val="001443EE"/>
    <w:rsid w:val="00166FE3"/>
    <w:rsid w:val="00181DF7"/>
    <w:rsid w:val="001A7308"/>
    <w:rsid w:val="001F608B"/>
    <w:rsid w:val="00203303"/>
    <w:rsid w:val="00221C30"/>
    <w:rsid w:val="0023085E"/>
    <w:rsid w:val="00255486"/>
    <w:rsid w:val="00264F16"/>
    <w:rsid w:val="002A5197"/>
    <w:rsid w:val="002B2FCC"/>
    <w:rsid w:val="002C3A81"/>
    <w:rsid w:val="002C70DE"/>
    <w:rsid w:val="00311CF7"/>
    <w:rsid w:val="0031684D"/>
    <w:rsid w:val="00316DB0"/>
    <w:rsid w:val="00332455"/>
    <w:rsid w:val="00374B6B"/>
    <w:rsid w:val="003D6F79"/>
    <w:rsid w:val="003E11E6"/>
    <w:rsid w:val="003E4194"/>
    <w:rsid w:val="003F0752"/>
    <w:rsid w:val="003F3975"/>
    <w:rsid w:val="0040117F"/>
    <w:rsid w:val="00410B3B"/>
    <w:rsid w:val="00416773"/>
    <w:rsid w:val="0042479F"/>
    <w:rsid w:val="004509E5"/>
    <w:rsid w:val="00453F26"/>
    <w:rsid w:val="0048665E"/>
    <w:rsid w:val="004D40B4"/>
    <w:rsid w:val="004E65C8"/>
    <w:rsid w:val="004F6C41"/>
    <w:rsid w:val="00504060"/>
    <w:rsid w:val="00517EC8"/>
    <w:rsid w:val="00523397"/>
    <w:rsid w:val="00530CFE"/>
    <w:rsid w:val="00595885"/>
    <w:rsid w:val="005A3BD1"/>
    <w:rsid w:val="005D6501"/>
    <w:rsid w:val="005E12AE"/>
    <w:rsid w:val="00602197"/>
    <w:rsid w:val="00630B3A"/>
    <w:rsid w:val="0063142A"/>
    <w:rsid w:val="00641AE9"/>
    <w:rsid w:val="00667499"/>
    <w:rsid w:val="00694DCA"/>
    <w:rsid w:val="006B1A2E"/>
    <w:rsid w:val="006B7DF3"/>
    <w:rsid w:val="006E75BD"/>
    <w:rsid w:val="006F7157"/>
    <w:rsid w:val="00700B11"/>
    <w:rsid w:val="00755A83"/>
    <w:rsid w:val="00756260"/>
    <w:rsid w:val="0077726B"/>
    <w:rsid w:val="007C5E2C"/>
    <w:rsid w:val="007D731B"/>
    <w:rsid w:val="007E47FA"/>
    <w:rsid w:val="0082559C"/>
    <w:rsid w:val="00840D14"/>
    <w:rsid w:val="008659F2"/>
    <w:rsid w:val="00867CE8"/>
    <w:rsid w:val="0088173A"/>
    <w:rsid w:val="00885A2B"/>
    <w:rsid w:val="008B30E9"/>
    <w:rsid w:val="008E6015"/>
    <w:rsid w:val="008E6600"/>
    <w:rsid w:val="008E6F4F"/>
    <w:rsid w:val="0093072D"/>
    <w:rsid w:val="009350A6"/>
    <w:rsid w:val="00940E04"/>
    <w:rsid w:val="00944DE9"/>
    <w:rsid w:val="00992D52"/>
    <w:rsid w:val="009B1579"/>
    <w:rsid w:val="009B3C75"/>
    <w:rsid w:val="009D4179"/>
    <w:rsid w:val="00A003A2"/>
    <w:rsid w:val="00A03909"/>
    <w:rsid w:val="00A237E8"/>
    <w:rsid w:val="00A6721C"/>
    <w:rsid w:val="00AA7505"/>
    <w:rsid w:val="00AF4C18"/>
    <w:rsid w:val="00B0714F"/>
    <w:rsid w:val="00B27C10"/>
    <w:rsid w:val="00B41E22"/>
    <w:rsid w:val="00B42970"/>
    <w:rsid w:val="00B473DD"/>
    <w:rsid w:val="00B644B0"/>
    <w:rsid w:val="00B71A43"/>
    <w:rsid w:val="00B86CDD"/>
    <w:rsid w:val="00BA260A"/>
    <w:rsid w:val="00BB0793"/>
    <w:rsid w:val="00BB2FCC"/>
    <w:rsid w:val="00BD6BEC"/>
    <w:rsid w:val="00BE49C0"/>
    <w:rsid w:val="00C07265"/>
    <w:rsid w:val="00C47E87"/>
    <w:rsid w:val="00C64418"/>
    <w:rsid w:val="00C77367"/>
    <w:rsid w:val="00C957D2"/>
    <w:rsid w:val="00CE2EF8"/>
    <w:rsid w:val="00D30224"/>
    <w:rsid w:val="00D54901"/>
    <w:rsid w:val="00D57595"/>
    <w:rsid w:val="00D721C3"/>
    <w:rsid w:val="00D75E1C"/>
    <w:rsid w:val="00D81B9A"/>
    <w:rsid w:val="00D92AAB"/>
    <w:rsid w:val="00DA6899"/>
    <w:rsid w:val="00DE1C4B"/>
    <w:rsid w:val="00E009DA"/>
    <w:rsid w:val="00E0744D"/>
    <w:rsid w:val="00E50149"/>
    <w:rsid w:val="00E67F32"/>
    <w:rsid w:val="00E67F33"/>
    <w:rsid w:val="00E71C08"/>
    <w:rsid w:val="00E77772"/>
    <w:rsid w:val="00E77CC7"/>
    <w:rsid w:val="00E81B42"/>
    <w:rsid w:val="00EC3F8A"/>
    <w:rsid w:val="00EF5AE7"/>
    <w:rsid w:val="00F01E80"/>
    <w:rsid w:val="00F165EC"/>
    <w:rsid w:val="00F4259D"/>
    <w:rsid w:val="00F52695"/>
    <w:rsid w:val="00F60DF2"/>
    <w:rsid w:val="00F63949"/>
    <w:rsid w:val="00F74516"/>
    <w:rsid w:val="00F95A7D"/>
    <w:rsid w:val="00FA0DF2"/>
    <w:rsid w:val="00FC49A0"/>
    <w:rsid w:val="00FE26C1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0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F16"/>
  </w:style>
  <w:style w:type="paragraph" w:styleId="a5">
    <w:name w:val="footer"/>
    <w:basedOn w:val="a"/>
    <w:link w:val="a6"/>
    <w:uiPriority w:val="99"/>
    <w:unhideWhenUsed/>
    <w:rsid w:val="0026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F16"/>
  </w:style>
  <w:style w:type="character" w:styleId="a7">
    <w:name w:val="Placeholder Text"/>
    <w:basedOn w:val="a0"/>
    <w:uiPriority w:val="99"/>
    <w:semiHidden/>
    <w:rsid w:val="00264F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F1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0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поступивших обращений</a:t>
            </a:r>
          </a:p>
          <a:p>
            <a:pPr>
              <a:defRPr/>
            </a:pPr>
            <a:r>
              <a:rPr lang="ru-RU"/>
              <a:t>по месяцам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3"/>
                <c:pt idx="1">
                  <c:v>Январь</c:v>
                </c:pt>
                <c:pt idx="2">
                  <c:v>Февраль</c:v>
                </c:pt>
                <c:pt idx="3">
                  <c:v>Март</c:v>
                </c:pt>
                <c:pt idx="4">
                  <c:v>Апрель</c:v>
                </c:pt>
                <c:pt idx="5">
                  <c:v>Май</c:v>
                </c:pt>
                <c:pt idx="6">
                  <c:v>Июнь</c:v>
                </c:pt>
                <c:pt idx="7">
                  <c:v>Июль</c:v>
                </c:pt>
                <c:pt idx="8">
                  <c:v>Август</c:v>
                </c:pt>
                <c:pt idx="9">
                  <c:v>Сентябрь</c:v>
                </c:pt>
                <c:pt idx="10">
                  <c:v>Октябрь</c:v>
                </c:pt>
                <c:pt idx="11">
                  <c:v>Ноябрь</c:v>
                </c:pt>
                <c:pt idx="12">
                  <c:v>Декабрь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1">
                  <c:v>3</c:v>
                </c:pt>
                <c:pt idx="2">
                  <c:v>6</c:v>
                </c:pt>
                <c:pt idx="3">
                  <c:v>12</c:v>
                </c:pt>
                <c:pt idx="4">
                  <c:v>11</c:v>
                </c:pt>
                <c:pt idx="5">
                  <c:v>5</c:v>
                </c:pt>
                <c:pt idx="6">
                  <c:v>10</c:v>
                </c:pt>
                <c:pt idx="7">
                  <c:v>10</c:v>
                </c:pt>
                <c:pt idx="8">
                  <c:v>7</c:v>
                </c:pt>
                <c:pt idx="9">
                  <c:v>13</c:v>
                </c:pt>
                <c:pt idx="10">
                  <c:v>38</c:v>
                </c:pt>
                <c:pt idx="11">
                  <c:v>28</c:v>
                </c:pt>
                <c:pt idx="1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992320"/>
        <c:axId val="99993856"/>
      </c:barChart>
      <c:catAx>
        <c:axId val="99992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99993856"/>
        <c:crosses val="autoZero"/>
        <c:auto val="1"/>
        <c:lblAlgn val="ctr"/>
        <c:lblOffset val="100"/>
        <c:noMultiLvlLbl val="0"/>
      </c:catAx>
      <c:valAx>
        <c:axId val="99993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999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Способ поступления обращений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лично</c:v>
                </c:pt>
                <c:pt idx="1">
                  <c:v>почта РФ</c:v>
                </c:pt>
                <c:pt idx="2">
                  <c:v>интернет-приемная, электронная почта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41</c:v>
                </c:pt>
                <c:pt idx="2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87E70-2CF5-4F77-AB98-266D8168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С. Безверхая</dc:creator>
  <cp:lastModifiedBy>Жанна С. Безверхая</cp:lastModifiedBy>
  <cp:revision>3</cp:revision>
  <cp:lastPrinted>2025-06-02T07:22:00Z</cp:lastPrinted>
  <dcterms:created xsi:type="dcterms:W3CDTF">2024-11-26T05:50:00Z</dcterms:created>
  <dcterms:modified xsi:type="dcterms:W3CDTF">2025-06-02T07:31:00Z</dcterms:modified>
</cp:coreProperties>
</file>